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421B1DB0" w14:textId="77777777" w:rsidR="005811C4" w:rsidRPr="005E25BA" w:rsidRDefault="00AA7A77">
      <w:pPr>
        <w:pStyle w:val="Verzeichnis1"/>
        <w:tabs>
          <w:tab w:val="left" w:pos="440"/>
          <w:tab w:val="right" w:leader="dot" w:pos="9062"/>
        </w:tabs>
        <w:rPr>
          <w:rFonts w:asciiTheme="minorHAnsi" w:eastAsiaTheme="minorEastAsia" w:hAnsiTheme="minorHAnsi"/>
          <w:b w:val="0"/>
          <w:bCs w:val="0"/>
          <w:caps w:val="0"/>
          <w:noProof/>
          <w:lang w:val="en-US" w:eastAsia="de-DE"/>
        </w:rPr>
      </w:pPr>
      <w:r w:rsidRPr="005E25BA">
        <w:rPr>
          <w:b w:val="0"/>
          <w:bCs w:val="0"/>
          <w:caps w:val="0"/>
          <w:lang w:val="en-US"/>
        </w:rPr>
        <w:fldChar w:fldCharType="begin"/>
      </w:r>
      <w:r w:rsidRPr="005E25BA">
        <w:rPr>
          <w:b w:val="0"/>
          <w:bCs w:val="0"/>
          <w:caps w:val="0"/>
          <w:lang w:val="en-US"/>
        </w:rPr>
        <w:instrText xml:space="preserve"> TOC \o "1-3" \h \z \u </w:instrText>
      </w:r>
      <w:r w:rsidRPr="005E25BA">
        <w:rPr>
          <w:b w:val="0"/>
          <w:bCs w:val="0"/>
          <w:caps w:val="0"/>
          <w:lang w:val="en-US"/>
        </w:rPr>
        <w:fldChar w:fldCharType="separate"/>
      </w:r>
      <w:hyperlink w:anchor="_Toc464741860" w:history="1">
        <w:r w:rsidR="005811C4" w:rsidRPr="005E25BA">
          <w:rPr>
            <w:rStyle w:val="Link"/>
            <w:noProof/>
            <w:lang w:val="en-US"/>
          </w:rPr>
          <w:t>4.</w:t>
        </w:r>
        <w:r w:rsidR="005811C4" w:rsidRPr="005E25BA">
          <w:rPr>
            <w:rFonts w:asciiTheme="minorHAnsi" w:eastAsiaTheme="minorEastAsia" w:hAnsiTheme="minorHAnsi"/>
            <w:b w:val="0"/>
            <w:bCs w:val="0"/>
            <w:caps w:val="0"/>
            <w:noProof/>
            <w:lang w:val="en-US" w:eastAsia="de-DE"/>
          </w:rPr>
          <w:tab/>
        </w:r>
        <w:r w:rsidR="005811C4" w:rsidRPr="005E25BA">
          <w:rPr>
            <w:rStyle w:val="Link"/>
            <w:noProof/>
            <w:lang w:val="en-US"/>
          </w:rPr>
          <w:t>Members of the consortium</w:t>
        </w:r>
        <w:r w:rsidR="005811C4" w:rsidRPr="005E25BA">
          <w:rPr>
            <w:noProof/>
            <w:webHidden/>
            <w:lang w:val="en-US"/>
          </w:rPr>
          <w:tab/>
        </w:r>
        <w:r w:rsidR="005811C4" w:rsidRPr="005E25BA">
          <w:rPr>
            <w:noProof/>
            <w:webHidden/>
            <w:lang w:val="en-US"/>
          </w:rPr>
          <w:fldChar w:fldCharType="begin"/>
        </w:r>
        <w:r w:rsidR="005811C4" w:rsidRPr="005E25BA">
          <w:rPr>
            <w:noProof/>
            <w:webHidden/>
            <w:lang w:val="en-US"/>
          </w:rPr>
          <w:instrText xml:space="preserve"> PAGEREF _Toc464741860 \h </w:instrText>
        </w:r>
        <w:r w:rsidR="005811C4" w:rsidRPr="005E25BA">
          <w:rPr>
            <w:noProof/>
            <w:webHidden/>
            <w:lang w:val="en-US"/>
          </w:rPr>
        </w:r>
        <w:r w:rsidR="005811C4" w:rsidRPr="005E25BA">
          <w:rPr>
            <w:noProof/>
            <w:webHidden/>
            <w:lang w:val="en-US"/>
          </w:rPr>
          <w:fldChar w:fldCharType="separate"/>
        </w:r>
        <w:r w:rsidR="005811C4" w:rsidRPr="005E25BA">
          <w:rPr>
            <w:noProof/>
            <w:webHidden/>
            <w:lang w:val="en-US"/>
          </w:rPr>
          <w:t>1</w:t>
        </w:r>
        <w:r w:rsidR="005811C4" w:rsidRPr="005E25BA">
          <w:rPr>
            <w:noProof/>
            <w:webHidden/>
            <w:lang w:val="en-US"/>
          </w:rPr>
          <w:fldChar w:fldCharType="end"/>
        </w:r>
      </w:hyperlink>
    </w:p>
    <w:p w14:paraId="254EC434" w14:textId="77777777" w:rsidR="005811C4" w:rsidRPr="005E25BA"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1" w:history="1">
        <w:r w:rsidRPr="005E25BA">
          <w:rPr>
            <w:rStyle w:val="Link"/>
            <w:noProof/>
            <w:lang w:val="en-US"/>
          </w:rPr>
          <w:t>4.1</w:t>
        </w:r>
        <w:r w:rsidRPr="005E25BA">
          <w:rPr>
            <w:rFonts w:eastAsiaTheme="minorEastAsia"/>
            <w:b w:val="0"/>
            <w:bCs w:val="0"/>
            <w:noProof/>
            <w:sz w:val="24"/>
            <w:szCs w:val="24"/>
            <w:lang w:val="en-US" w:eastAsia="de-DE"/>
          </w:rPr>
          <w:tab/>
        </w:r>
        <w:r w:rsidRPr="005E25BA">
          <w:rPr>
            <w:rStyle w:val="Link"/>
            <w:noProof/>
            <w:lang w:val="en-US"/>
          </w:rPr>
          <w:t>Participants (applicants)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_Toc464741861 \h </w:instrText>
        </w:r>
        <w:r w:rsidRPr="005E25BA">
          <w:rPr>
            <w:noProof/>
            <w:webHidden/>
            <w:lang w:val="en-US"/>
          </w:rPr>
        </w:r>
        <w:r w:rsidRPr="005E25BA">
          <w:rPr>
            <w:noProof/>
            <w:webHidden/>
            <w:lang w:val="en-US"/>
          </w:rPr>
          <w:fldChar w:fldCharType="separate"/>
        </w:r>
        <w:r w:rsidRPr="005E25BA">
          <w:rPr>
            <w:noProof/>
            <w:webHidden/>
            <w:lang w:val="en-US"/>
          </w:rPr>
          <w:t>1</w:t>
        </w:r>
        <w:r w:rsidRPr="005E25BA">
          <w:rPr>
            <w:noProof/>
            <w:webHidden/>
            <w:lang w:val="en-US"/>
          </w:rPr>
          <w:fldChar w:fldCharType="end"/>
        </w:r>
      </w:hyperlink>
    </w:p>
    <w:p w14:paraId="59C9BB82"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2" w:history="1">
        <w:r w:rsidRPr="005E25BA">
          <w:rPr>
            <w:rStyle w:val="Link"/>
            <w:iCs/>
            <w:noProof/>
            <w:lang w:val="en-US"/>
          </w:rPr>
          <w:t>4.1.1</w:t>
        </w:r>
        <w:r w:rsidRPr="005E25BA">
          <w:rPr>
            <w:rFonts w:eastAsiaTheme="minorEastAsia"/>
            <w:noProof/>
            <w:sz w:val="24"/>
            <w:szCs w:val="24"/>
            <w:lang w:val="en-US" w:eastAsia="de-DE"/>
          </w:rPr>
          <w:tab/>
        </w:r>
        <w:r w:rsidRPr="005E25BA">
          <w:rPr>
            <w:rStyle w:val="Link"/>
            <w:iCs/>
            <w:noProof/>
            <w:lang w:val="en-US"/>
          </w:rPr>
          <w:t>SIListra Systems GmbH (TUD)</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_Toc464741862 \h </w:instrText>
        </w:r>
        <w:r w:rsidRPr="005E25BA">
          <w:rPr>
            <w:noProof/>
            <w:webHidden/>
            <w:lang w:val="en-US"/>
          </w:rPr>
        </w:r>
        <w:r w:rsidRPr="005E25BA">
          <w:rPr>
            <w:noProof/>
            <w:webHidden/>
            <w:lang w:val="en-US"/>
          </w:rPr>
          <w:fldChar w:fldCharType="separate"/>
        </w:r>
        <w:r w:rsidRPr="005E25BA">
          <w:rPr>
            <w:noProof/>
            <w:webHidden/>
            <w:lang w:val="en-US"/>
          </w:rPr>
          <w:t>1</w:t>
        </w:r>
        <w:r w:rsidRPr="005E25BA">
          <w:rPr>
            <w:noProof/>
            <w:webHidden/>
            <w:lang w:val="en-US"/>
          </w:rPr>
          <w:fldChar w:fldCharType="end"/>
        </w:r>
      </w:hyperlink>
    </w:p>
    <w:p w14:paraId="2B2B420B"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3" w:history="1">
        <w:r w:rsidRPr="005E25BA">
          <w:rPr>
            <w:rStyle w:val="Link"/>
            <w:iCs/>
            <w:noProof/>
            <w:lang w:val="en-US"/>
          </w:rPr>
          <w:t>4.1.2</w:t>
        </w:r>
        <w:r w:rsidRPr="005E25BA">
          <w:rPr>
            <w:rFonts w:eastAsiaTheme="minorEastAsia"/>
            <w:noProof/>
            <w:sz w:val="24"/>
            <w:szCs w:val="24"/>
            <w:lang w:val="en-US" w:eastAsia="de-DE"/>
          </w:rPr>
          <w:tab/>
        </w:r>
        <w:r w:rsidRPr="005E25BA">
          <w:rPr>
            <w:rStyle w:val="Link"/>
            <w:iCs/>
            <w:noProof/>
            <w:lang w:val="en-US"/>
          </w:rPr>
          <w:t>Sync Lab S.r.l. (SYNC)</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_Toc464741863 \h </w:instrText>
        </w:r>
        <w:r w:rsidRPr="005E25BA">
          <w:rPr>
            <w:noProof/>
            <w:webHidden/>
            <w:lang w:val="en-US"/>
          </w:rPr>
        </w:r>
        <w:r w:rsidRPr="005E25BA">
          <w:rPr>
            <w:noProof/>
            <w:webHidden/>
            <w:lang w:val="en-US"/>
          </w:rPr>
          <w:fldChar w:fldCharType="separate"/>
        </w:r>
        <w:r w:rsidRPr="005E25BA">
          <w:rPr>
            <w:noProof/>
            <w:webHidden/>
            <w:lang w:val="en-US"/>
          </w:rPr>
          <w:t>4</w:t>
        </w:r>
        <w:r w:rsidRPr="005E25BA">
          <w:rPr>
            <w:noProof/>
            <w:webHidden/>
            <w:lang w:val="en-US"/>
          </w:rPr>
          <w:fldChar w:fldCharType="end"/>
        </w:r>
      </w:hyperlink>
    </w:p>
    <w:p w14:paraId="35917557"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4" w:history="1">
        <w:r w:rsidRPr="005E25BA">
          <w:rPr>
            <w:rStyle w:val="Link"/>
            <w:noProof/>
            <w:lang w:val="en-US"/>
          </w:rPr>
          <w:t>4.1.3</w:t>
        </w:r>
        <w:r w:rsidRPr="005E25BA">
          <w:rPr>
            <w:rFonts w:eastAsiaTheme="minorEastAsia"/>
            <w:noProof/>
            <w:sz w:val="24"/>
            <w:szCs w:val="24"/>
            <w:lang w:val="en-US" w:eastAsia="de-DE"/>
          </w:rPr>
          <w:tab/>
        </w:r>
        <w:r w:rsidRPr="005E25BA">
          <w:rPr>
            <w:rStyle w:val="Link"/>
            <w:iCs/>
            <w:noProof/>
            <w:lang w:val="en-US"/>
          </w:rPr>
          <w:t>EXUS Ltd (Exus)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_Toc464741864 \h </w:instrText>
        </w:r>
        <w:r w:rsidRPr="005E25BA">
          <w:rPr>
            <w:noProof/>
            <w:webHidden/>
            <w:lang w:val="en-US"/>
          </w:rPr>
        </w:r>
        <w:r w:rsidRPr="005E25BA">
          <w:rPr>
            <w:noProof/>
            <w:webHidden/>
            <w:lang w:val="en-US"/>
          </w:rPr>
          <w:fldChar w:fldCharType="separate"/>
        </w:r>
        <w:r w:rsidRPr="005E25BA">
          <w:rPr>
            <w:noProof/>
            <w:webHidden/>
            <w:lang w:val="en-US"/>
          </w:rPr>
          <w:t>6</w:t>
        </w:r>
        <w:r w:rsidRPr="005E25BA">
          <w:rPr>
            <w:noProof/>
            <w:webHidden/>
            <w:lang w:val="en-US"/>
          </w:rPr>
          <w:fldChar w:fldCharType="end"/>
        </w:r>
      </w:hyperlink>
    </w:p>
    <w:p w14:paraId="284F602D" w14:textId="77777777" w:rsidR="005811C4" w:rsidRPr="005E25BA"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5" w:history="1">
        <w:r w:rsidRPr="005E25BA">
          <w:rPr>
            <w:rStyle w:val="Link"/>
            <w:noProof/>
            <w:lang w:val="en-US"/>
          </w:rPr>
          <w:t>4.2</w:t>
        </w:r>
        <w:r w:rsidRPr="005E25BA">
          <w:rPr>
            <w:rFonts w:eastAsiaTheme="minorEastAsia"/>
            <w:b w:val="0"/>
            <w:bCs w:val="0"/>
            <w:noProof/>
            <w:sz w:val="24"/>
            <w:szCs w:val="24"/>
            <w:lang w:val="en-US" w:eastAsia="de-DE"/>
          </w:rPr>
          <w:tab/>
        </w:r>
        <w:r w:rsidRPr="005E25BA">
          <w:rPr>
            <w:rStyle w:val="Link"/>
            <w:noProof/>
            <w:lang w:val="en-US"/>
          </w:rPr>
          <w:t>Third parties involved in the project (third party resources)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_Toc464741865 \h </w:instrText>
        </w:r>
        <w:r w:rsidRPr="005E25BA">
          <w:rPr>
            <w:noProof/>
            <w:webHidden/>
            <w:lang w:val="en-US"/>
          </w:rPr>
        </w:r>
        <w:r w:rsidRPr="005E25BA">
          <w:rPr>
            <w:noProof/>
            <w:webHidden/>
            <w:lang w:val="en-US"/>
          </w:rPr>
          <w:fldChar w:fldCharType="separate"/>
        </w:r>
        <w:r w:rsidRPr="005E25BA">
          <w:rPr>
            <w:noProof/>
            <w:webHidden/>
            <w:lang w:val="en-US"/>
          </w:rPr>
          <w:t>7</w:t>
        </w:r>
        <w:r w:rsidRPr="005E25BA">
          <w:rPr>
            <w:noProof/>
            <w:webHidden/>
            <w:lang w:val="en-US"/>
          </w:rPr>
          <w:fldChar w:fldCharType="end"/>
        </w:r>
      </w:hyperlink>
    </w:p>
    <w:p w14:paraId="08296276"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6" w:history="1">
        <w:r w:rsidRPr="005E25BA">
          <w:rPr>
            <w:rStyle w:val="Link"/>
            <w:iCs/>
            <w:noProof/>
            <w:lang w:val="en-US"/>
          </w:rPr>
          <w:t>4.2.1</w:t>
        </w:r>
        <w:r w:rsidRPr="005E25BA">
          <w:rPr>
            <w:rFonts w:eastAsiaTheme="minorEastAsia"/>
            <w:noProof/>
            <w:sz w:val="24"/>
            <w:szCs w:val="24"/>
            <w:lang w:val="en-US" w:eastAsia="de-DE"/>
          </w:rPr>
          <w:tab/>
        </w:r>
        <w:r w:rsidRPr="005E25BA">
          <w:rPr>
            <w:rStyle w:val="Link"/>
            <w:iCs/>
            <w:noProof/>
            <w:lang w:val="en-US"/>
          </w:rPr>
          <w:t>SIListra Systems GmbH (SIL)</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_Toc464741866 \h </w:instrText>
        </w:r>
        <w:r w:rsidRPr="005E25BA">
          <w:rPr>
            <w:noProof/>
            <w:webHidden/>
            <w:lang w:val="en-US"/>
          </w:rPr>
        </w:r>
        <w:r w:rsidRPr="005E25BA">
          <w:rPr>
            <w:noProof/>
            <w:webHidden/>
            <w:lang w:val="en-US"/>
          </w:rPr>
          <w:fldChar w:fldCharType="separate"/>
        </w:r>
        <w:r w:rsidRPr="005E25BA">
          <w:rPr>
            <w:noProof/>
            <w:webHidden/>
            <w:lang w:val="en-US"/>
          </w:rPr>
          <w:t>7</w:t>
        </w:r>
        <w:r w:rsidRPr="005E25BA">
          <w:rPr>
            <w:noProof/>
            <w:webHidden/>
            <w:lang w:val="en-US"/>
          </w:rPr>
          <w:fldChar w:fldCharType="end"/>
        </w:r>
      </w:hyperlink>
    </w:p>
    <w:p w14:paraId="36B3009D"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7" w:history="1">
        <w:r w:rsidRPr="005E25BA">
          <w:rPr>
            <w:rStyle w:val="Link"/>
            <w:iCs/>
            <w:noProof/>
            <w:lang w:val="en-US"/>
          </w:rPr>
          <w:t>4.2.2</w:t>
        </w:r>
        <w:r w:rsidRPr="005E25BA">
          <w:rPr>
            <w:rFonts w:eastAsiaTheme="minorEastAsia"/>
            <w:noProof/>
            <w:sz w:val="24"/>
            <w:szCs w:val="24"/>
            <w:lang w:val="en-US" w:eastAsia="de-DE"/>
          </w:rPr>
          <w:tab/>
        </w:r>
        <w:r w:rsidRPr="005E25BA">
          <w:rPr>
            <w:rStyle w:val="Link"/>
            <w:iCs/>
            <w:noProof/>
            <w:lang w:val="en-US"/>
          </w:rPr>
          <w:t>Sync Lab S.r.l. (SYNC)</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_Toc464741867 \h </w:instrText>
        </w:r>
        <w:r w:rsidRPr="005E25BA">
          <w:rPr>
            <w:noProof/>
            <w:webHidden/>
            <w:lang w:val="en-US"/>
          </w:rPr>
        </w:r>
        <w:r w:rsidRPr="005E25BA">
          <w:rPr>
            <w:noProof/>
            <w:webHidden/>
            <w:lang w:val="en-US"/>
          </w:rPr>
          <w:fldChar w:fldCharType="separate"/>
        </w:r>
        <w:r w:rsidRPr="005E25BA">
          <w:rPr>
            <w:noProof/>
            <w:webHidden/>
            <w:lang w:val="en-US"/>
          </w:rPr>
          <w:t>7</w:t>
        </w:r>
        <w:r w:rsidRPr="005E25BA">
          <w:rPr>
            <w:noProof/>
            <w:webHidden/>
            <w:lang w:val="en-US"/>
          </w:rPr>
          <w:fldChar w:fldCharType="end"/>
        </w:r>
      </w:hyperlink>
    </w:p>
    <w:p w14:paraId="0C2B6646" w14:textId="77777777" w:rsidR="005811C4" w:rsidRPr="005E25BA" w:rsidRDefault="005811C4">
      <w:pPr>
        <w:pStyle w:val="Verzeichnis3"/>
        <w:tabs>
          <w:tab w:val="left" w:pos="880"/>
          <w:tab w:val="right" w:leader="dot" w:pos="9062"/>
        </w:tabs>
        <w:rPr>
          <w:rFonts w:eastAsiaTheme="minorEastAsia"/>
          <w:noProof/>
          <w:sz w:val="24"/>
          <w:szCs w:val="24"/>
          <w:lang w:val="en-US" w:eastAsia="de-DE"/>
        </w:rPr>
      </w:pPr>
      <w:hyperlink w:anchor="_Toc464741868" w:history="1">
        <w:r w:rsidRPr="005E25BA">
          <w:rPr>
            <w:rStyle w:val="Link"/>
            <w:noProof/>
            <w:lang w:val="en-US"/>
          </w:rPr>
          <w:t>4.2.3</w:t>
        </w:r>
        <w:r w:rsidRPr="005E25BA">
          <w:rPr>
            <w:rFonts w:eastAsiaTheme="minorEastAsia"/>
            <w:noProof/>
            <w:sz w:val="24"/>
            <w:szCs w:val="24"/>
            <w:lang w:val="en-US" w:eastAsia="de-DE"/>
          </w:rPr>
          <w:tab/>
        </w:r>
        <w:r w:rsidRPr="005E25BA">
          <w:rPr>
            <w:rStyle w:val="Link"/>
            <w:iCs/>
            <w:noProof/>
            <w:lang w:val="en-US"/>
          </w:rPr>
          <w:t>Exus (Exus)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_Toc464741868 \h </w:instrText>
        </w:r>
        <w:r w:rsidRPr="005E25BA">
          <w:rPr>
            <w:noProof/>
            <w:webHidden/>
            <w:lang w:val="en-US"/>
          </w:rPr>
        </w:r>
        <w:r w:rsidRPr="005E25BA">
          <w:rPr>
            <w:noProof/>
            <w:webHidden/>
            <w:lang w:val="en-US"/>
          </w:rPr>
          <w:fldChar w:fldCharType="separate"/>
        </w:r>
        <w:r w:rsidRPr="005E25BA">
          <w:rPr>
            <w:noProof/>
            <w:webHidden/>
            <w:lang w:val="en-US"/>
          </w:rPr>
          <w:t>7</w:t>
        </w:r>
        <w:r w:rsidRPr="005E25BA">
          <w:rPr>
            <w:noProof/>
            <w:webHidden/>
            <w:lang w:val="en-US"/>
          </w:rPr>
          <w:fldChar w:fldCharType="end"/>
        </w:r>
      </w:hyperlink>
    </w:p>
    <w:p w14:paraId="77FF39BB" w14:textId="77777777" w:rsidR="005811C4" w:rsidRPr="005E25BA"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69" w:history="1">
        <w:r w:rsidRPr="005E25BA">
          <w:rPr>
            <w:rStyle w:val="Link"/>
            <w:noProof/>
            <w:lang w:val="en-US"/>
          </w:rPr>
          <w:t>5.</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_Toc464741869 \h </w:instrText>
        </w:r>
        <w:r w:rsidRPr="005E25BA">
          <w:rPr>
            <w:noProof/>
            <w:webHidden/>
            <w:lang w:val="en-US"/>
          </w:rPr>
        </w:r>
        <w:r w:rsidRPr="005E25BA">
          <w:rPr>
            <w:noProof/>
            <w:webHidden/>
            <w:lang w:val="en-US"/>
          </w:rPr>
          <w:fldChar w:fldCharType="separate"/>
        </w:r>
        <w:r w:rsidRPr="005E25BA">
          <w:rPr>
            <w:noProof/>
            <w:webHidden/>
            <w:lang w:val="en-US"/>
          </w:rPr>
          <w:t>7</w:t>
        </w:r>
        <w:r w:rsidRPr="005E25BA">
          <w:rPr>
            <w:noProof/>
            <w:webHidden/>
            <w:lang w:val="en-US"/>
          </w:rPr>
          <w:fldChar w:fldCharType="end"/>
        </w:r>
      </w:hyperlink>
    </w:p>
    <w:p w14:paraId="1556C4E1" w14:textId="77777777" w:rsidR="005811C4" w:rsidRPr="005E25BA" w:rsidRDefault="005811C4">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4741870" w:history="1">
        <w:r w:rsidRPr="005E25BA">
          <w:rPr>
            <w:rStyle w:val="Link"/>
            <w:noProof/>
            <w:lang w:val="en-US"/>
          </w:rPr>
          <w:t>6.</w:t>
        </w:r>
        <w:r w:rsidRPr="005E25BA">
          <w:rPr>
            <w:rFonts w:asciiTheme="minorHAnsi" w:eastAsiaTheme="minorEastAsia" w:hAnsiTheme="minorHAnsi"/>
            <w:b w:val="0"/>
            <w:bCs w:val="0"/>
            <w:caps w:val="0"/>
            <w:noProof/>
            <w:lang w:val="en-US" w:eastAsia="de-DE"/>
          </w:rPr>
          <w:tab/>
        </w:r>
        <w:r w:rsidRPr="005E25BA">
          <w:rPr>
            <w:rStyle w:val="Link"/>
            <w:noProof/>
            <w:lang w:val="en-US"/>
          </w:rPr>
          <w:t>Ethics and Security</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_Toc464741870 \h </w:instrText>
        </w:r>
        <w:r w:rsidRPr="005E25BA">
          <w:rPr>
            <w:noProof/>
            <w:webHidden/>
            <w:lang w:val="en-US"/>
          </w:rPr>
        </w:r>
        <w:r w:rsidRPr="005E25BA">
          <w:rPr>
            <w:noProof/>
            <w:webHidden/>
            <w:lang w:val="en-US"/>
          </w:rPr>
          <w:fldChar w:fldCharType="separate"/>
        </w:r>
        <w:r w:rsidRPr="005E25BA">
          <w:rPr>
            <w:noProof/>
            <w:webHidden/>
            <w:lang w:val="en-US"/>
          </w:rPr>
          <w:t>8</w:t>
        </w:r>
        <w:r w:rsidRPr="005E25BA">
          <w:rPr>
            <w:noProof/>
            <w:webHidden/>
            <w:lang w:val="en-US"/>
          </w:rPr>
          <w:fldChar w:fldCharType="end"/>
        </w:r>
      </w:hyperlink>
    </w:p>
    <w:p w14:paraId="3CCBAEA6" w14:textId="77777777" w:rsidR="005811C4" w:rsidRPr="005E25BA"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1" w:history="1">
        <w:r w:rsidRPr="005E25BA">
          <w:rPr>
            <w:rStyle w:val="Link"/>
            <w:noProof/>
            <w:lang w:val="en-US"/>
          </w:rPr>
          <w:t>6.1</w:t>
        </w:r>
        <w:r w:rsidRPr="005E25BA">
          <w:rPr>
            <w:rFonts w:eastAsiaTheme="minorEastAsia"/>
            <w:b w:val="0"/>
            <w:bCs w:val="0"/>
            <w:noProof/>
            <w:sz w:val="24"/>
            <w:szCs w:val="24"/>
            <w:lang w:val="en-US" w:eastAsia="de-DE"/>
          </w:rPr>
          <w:tab/>
        </w:r>
        <w:r w:rsidRPr="005E25BA">
          <w:rPr>
            <w:rStyle w:val="Link"/>
            <w:noProof/>
            <w:lang w:val="en-US"/>
          </w:rPr>
          <w:t>Ethics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_Toc464741871 \h </w:instrText>
        </w:r>
        <w:r w:rsidRPr="005E25BA">
          <w:rPr>
            <w:noProof/>
            <w:webHidden/>
            <w:lang w:val="en-US"/>
          </w:rPr>
        </w:r>
        <w:r w:rsidRPr="005E25BA">
          <w:rPr>
            <w:noProof/>
            <w:webHidden/>
            <w:lang w:val="en-US"/>
          </w:rPr>
          <w:fldChar w:fldCharType="separate"/>
        </w:r>
        <w:r w:rsidRPr="005E25BA">
          <w:rPr>
            <w:noProof/>
            <w:webHidden/>
            <w:lang w:val="en-US"/>
          </w:rPr>
          <w:t>8</w:t>
        </w:r>
        <w:r w:rsidRPr="005E25BA">
          <w:rPr>
            <w:noProof/>
            <w:webHidden/>
            <w:lang w:val="en-US"/>
          </w:rPr>
          <w:fldChar w:fldCharType="end"/>
        </w:r>
      </w:hyperlink>
    </w:p>
    <w:p w14:paraId="6CF7F802" w14:textId="77777777" w:rsidR="005811C4" w:rsidRPr="005E25BA"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2" w:history="1">
        <w:r w:rsidRPr="005E25BA">
          <w:rPr>
            <w:rStyle w:val="Link"/>
            <w:noProof/>
            <w:lang w:val="en-US"/>
          </w:rPr>
          <w:t>6.2</w:t>
        </w:r>
        <w:r w:rsidRPr="005E25BA">
          <w:rPr>
            <w:rFonts w:eastAsiaTheme="minorEastAsia"/>
            <w:b w:val="0"/>
            <w:bCs w:val="0"/>
            <w:noProof/>
            <w:sz w:val="24"/>
            <w:szCs w:val="24"/>
            <w:lang w:val="en-US" w:eastAsia="de-DE"/>
          </w:rPr>
          <w:tab/>
        </w:r>
        <w:r w:rsidRPr="005E25BA">
          <w:rPr>
            <w:rStyle w:val="Link"/>
            <w:noProof/>
            <w:lang w:val="en-US"/>
          </w:rPr>
          <w:t>Security</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_Toc464741872 \h </w:instrText>
        </w:r>
        <w:r w:rsidRPr="005E25BA">
          <w:rPr>
            <w:noProof/>
            <w:webHidden/>
            <w:lang w:val="en-US"/>
          </w:rPr>
        </w:r>
        <w:r w:rsidRPr="005E25BA">
          <w:rPr>
            <w:noProof/>
            <w:webHidden/>
            <w:lang w:val="en-US"/>
          </w:rPr>
          <w:fldChar w:fldCharType="separate"/>
        </w:r>
        <w:r w:rsidRPr="005E25BA">
          <w:rPr>
            <w:noProof/>
            <w:webHidden/>
            <w:lang w:val="en-US"/>
          </w:rPr>
          <w:t>8</w:t>
        </w:r>
        <w:r w:rsidRPr="005E25BA">
          <w:rPr>
            <w:noProof/>
            <w:webHidden/>
            <w:lang w:val="en-US"/>
          </w:rPr>
          <w:fldChar w:fldCharType="end"/>
        </w:r>
      </w:hyperlink>
    </w:p>
    <w:p w14:paraId="7FF25F88" w14:textId="77777777" w:rsidR="005811C4" w:rsidRPr="005E25BA"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3" w:history="1">
        <w:r w:rsidRPr="005E25BA">
          <w:rPr>
            <w:rStyle w:val="Link"/>
            <w:noProof/>
            <w:lang w:val="en-US"/>
          </w:rPr>
          <w:t>Annex 1: Drafted Coordination Agreement</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_Toc464741873 \h </w:instrText>
        </w:r>
        <w:r w:rsidRPr="005E25BA">
          <w:rPr>
            <w:noProof/>
            <w:webHidden/>
            <w:lang w:val="en-US"/>
          </w:rPr>
        </w:r>
        <w:r w:rsidRPr="005E25BA">
          <w:rPr>
            <w:noProof/>
            <w:webHidden/>
            <w:lang w:val="en-US"/>
          </w:rPr>
          <w:fldChar w:fldCharType="separate"/>
        </w:r>
        <w:r w:rsidRPr="005E25BA">
          <w:rPr>
            <w:noProof/>
            <w:webHidden/>
            <w:lang w:val="en-US"/>
          </w:rPr>
          <w:t>9</w:t>
        </w:r>
        <w:r w:rsidRPr="005E25BA">
          <w:rPr>
            <w:noProof/>
            <w:webHidden/>
            <w:lang w:val="en-US"/>
          </w:rPr>
          <w:fldChar w:fldCharType="end"/>
        </w:r>
      </w:hyperlink>
    </w:p>
    <w:p w14:paraId="1047D986" w14:textId="77777777" w:rsidR="005811C4" w:rsidRPr="005E25BA"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4" w:history="1">
        <w:r w:rsidRPr="005E25BA">
          <w:rPr>
            <w:rStyle w:val="Link"/>
            <w:noProof/>
            <w:lang w:val="en-US"/>
          </w:rPr>
          <w:t>References</w:t>
        </w:r>
        <w:r w:rsidRPr="005E25BA">
          <w:rPr>
            <w:noProof/>
            <w:webHidden/>
            <w:lang w:val="en-US"/>
          </w:rPr>
          <w:tab/>
        </w:r>
        <w:r w:rsidRPr="005E25BA">
          <w:rPr>
            <w:noProof/>
            <w:webHidden/>
            <w:lang w:val="en-US"/>
          </w:rPr>
          <w:fldChar w:fldCharType="begin"/>
        </w:r>
        <w:r w:rsidRPr="005E25BA">
          <w:rPr>
            <w:noProof/>
            <w:webHidden/>
            <w:lang w:val="en-US"/>
          </w:rPr>
          <w:instrText xml:space="preserve"> PAGEREF _Toc464741874 \h </w:instrText>
        </w:r>
        <w:r w:rsidRPr="005E25BA">
          <w:rPr>
            <w:noProof/>
            <w:webHidden/>
            <w:lang w:val="en-US"/>
          </w:rPr>
        </w:r>
        <w:r w:rsidRPr="005E25BA">
          <w:rPr>
            <w:noProof/>
            <w:webHidden/>
            <w:lang w:val="en-US"/>
          </w:rPr>
          <w:fldChar w:fldCharType="separate"/>
        </w:r>
        <w:r w:rsidRPr="005E25BA">
          <w:rPr>
            <w:noProof/>
            <w:webHidden/>
            <w:lang w:val="en-US"/>
          </w:rPr>
          <w:t>15</w:t>
        </w:r>
        <w:r w:rsidRPr="005E25BA">
          <w:rPr>
            <w:noProof/>
            <w:webHidden/>
            <w:lang w:val="en-US"/>
          </w:rPr>
          <w:fldChar w:fldCharType="end"/>
        </w:r>
      </w:hyperlink>
    </w:p>
    <w:p w14:paraId="071AAD49" w14:textId="063DA010" w:rsidR="00FE5F3F" w:rsidRPr="005E25BA" w:rsidRDefault="00AA7A77" w:rsidP="00AA7A77">
      <w:pPr>
        <w:pStyle w:val="berschrift1"/>
        <w:numPr>
          <w:ilvl w:val="0"/>
          <w:numId w:val="7"/>
        </w:numPr>
        <w:spacing w:before="0" w:line="240" w:lineRule="auto"/>
        <w:rPr>
          <w:lang w:val="en-US"/>
        </w:rPr>
      </w:pPr>
      <w:r w:rsidRPr="005E25BA">
        <w:rPr>
          <w:rFonts w:eastAsiaTheme="minorHAnsi" w:cstheme="minorBidi"/>
          <w:b w:val="0"/>
          <w:bCs w:val="0"/>
          <w:caps/>
          <w:color w:val="auto"/>
          <w:sz w:val="24"/>
          <w:szCs w:val="24"/>
          <w:lang w:val="en-US"/>
        </w:rPr>
        <w:fldChar w:fldCharType="end"/>
      </w:r>
      <w:bookmarkStart w:id="1" w:name="_Toc464741860"/>
      <w:r w:rsidR="00FE5F3F" w:rsidRPr="005E25BA">
        <w:rPr>
          <w:lang w:val="en-US"/>
        </w:rPr>
        <w:t>Members of the consortium</w:t>
      </w:r>
      <w:bookmarkEnd w:id="0"/>
      <w:bookmarkEnd w:id="1"/>
      <w:r w:rsidR="00FE5F3F" w:rsidRPr="005E25BA">
        <w:rPr>
          <w:lang w:val="en-US"/>
        </w:rPr>
        <w:t xml:space="preserve"> </w:t>
      </w:r>
    </w:p>
    <w:p w14:paraId="25766FF6" w14:textId="77777777" w:rsidR="00FE5F3F" w:rsidRPr="005E25BA" w:rsidRDefault="00FE5F3F" w:rsidP="0047607A">
      <w:pPr>
        <w:pStyle w:val="berschrift2"/>
        <w:numPr>
          <w:ilvl w:val="1"/>
          <w:numId w:val="7"/>
        </w:numPr>
        <w:spacing w:before="180" w:line="240" w:lineRule="auto"/>
        <w:rPr>
          <w:lang w:val="en-US"/>
        </w:rPr>
      </w:pPr>
      <w:bookmarkStart w:id="2" w:name="_Toc417085838"/>
      <w:bookmarkStart w:id="3" w:name="_Toc464741861"/>
      <w:r w:rsidRPr="005E25BA">
        <w:rPr>
          <w:lang w:val="en-US"/>
        </w:rPr>
        <w:t>Participants (applicants)</w:t>
      </w:r>
      <w:bookmarkEnd w:id="2"/>
      <w:bookmarkEnd w:id="3"/>
    </w:p>
    <w:p w14:paraId="4BB1EAD0" w14:textId="4FA90198" w:rsidR="00FE5F3F" w:rsidRPr="005E25BA" w:rsidRDefault="00A602BF" w:rsidP="0047607A">
      <w:pPr>
        <w:pStyle w:val="berschrift3"/>
        <w:numPr>
          <w:ilvl w:val="2"/>
          <w:numId w:val="7"/>
        </w:numPr>
        <w:spacing w:before="120" w:after="60" w:line="240" w:lineRule="auto"/>
        <w:rPr>
          <w:bCs w:val="0"/>
          <w:iCs/>
          <w:color w:val="2E74B5" w:themeColor="accent1" w:themeShade="BF"/>
          <w:lang w:val="en-US"/>
        </w:rPr>
      </w:pPr>
      <w:bookmarkStart w:id="4" w:name="_Toc417085839"/>
      <w:bookmarkStart w:id="5" w:name="_Toc464741862"/>
      <w:r w:rsidRPr="005E25BA">
        <w:rPr>
          <w:bCs w:val="0"/>
          <w:iCs/>
          <w:color w:val="2E74B5" w:themeColor="accent1" w:themeShade="BF"/>
          <w:lang w:val="en-US"/>
        </w:rPr>
        <w:t>SIListra Systems GmbH</w:t>
      </w:r>
      <w:r w:rsidR="00FE5F3F" w:rsidRPr="005E25BA">
        <w:rPr>
          <w:bCs w:val="0"/>
          <w:iCs/>
          <w:color w:val="2E74B5" w:themeColor="accent1" w:themeShade="BF"/>
          <w:lang w:val="en-US"/>
        </w:rPr>
        <w:t xml:space="preserve"> (TUD)</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5E25BA"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5E25BA" w:rsidRDefault="00A602BF" w:rsidP="0047607A">
            <w:pPr>
              <w:spacing w:after="0" w:line="240" w:lineRule="auto"/>
              <w:rPr>
                <w:rFonts w:ascii="Calibri" w:eastAsia="Calibri" w:hAnsi="Calibri"/>
                <w:b/>
                <w:lang w:val="en-US"/>
              </w:rPr>
            </w:pPr>
            <w:r w:rsidRPr="005E25BA">
              <w:rPr>
                <w:rFonts w:ascii="Calibri" w:eastAsia="Calibri" w:hAnsi="Calibri"/>
                <w:lang w:val="en-US"/>
              </w:rPr>
              <w:t>SIListra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5E25BA" w:rsidRDefault="00FE5F3F" w:rsidP="0047607A">
            <w:pPr>
              <w:spacing w:after="0" w:line="240" w:lineRule="auto"/>
              <w:rPr>
                <w:i/>
                <w:color w:val="0070C0"/>
                <w:lang w:val="en-US"/>
              </w:rPr>
            </w:pPr>
          </w:p>
        </w:tc>
      </w:tr>
      <w:tr w:rsidR="00FE5F3F" w:rsidRPr="005E25BA"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5E25BA" w:rsidRDefault="00A602BF" w:rsidP="0047607A">
            <w:pPr>
              <w:spacing w:after="0" w:line="240" w:lineRule="auto"/>
              <w:rPr>
                <w:rFonts w:ascii="Calibri" w:eastAsia="Calibri" w:hAnsi="Calibri"/>
                <w:lang w:val="en-US"/>
              </w:rPr>
            </w:pPr>
            <w:r w:rsidRPr="005E25BA">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5E25BA" w:rsidRDefault="00FE5F3F" w:rsidP="0047607A">
            <w:pPr>
              <w:spacing w:after="0" w:line="240" w:lineRule="auto"/>
              <w:rPr>
                <w:i/>
                <w:color w:val="0070C0"/>
                <w:lang w:val="en-US"/>
              </w:rPr>
            </w:pPr>
          </w:p>
        </w:tc>
      </w:tr>
      <w:tr w:rsidR="00FE5F3F" w:rsidRPr="005E25BA"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5E25BA" w:rsidRDefault="00FE5F3F" w:rsidP="0047607A">
            <w:pPr>
              <w:spacing w:after="0" w:line="240" w:lineRule="auto"/>
              <w:rPr>
                <w:b/>
                <w:lang w:val="en-US"/>
              </w:rPr>
            </w:pPr>
            <w:r w:rsidRPr="005E25BA">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5E25BA" w:rsidRDefault="00A602BF" w:rsidP="0047607A">
            <w:pPr>
              <w:spacing w:after="0" w:line="240" w:lineRule="auto"/>
              <w:rPr>
                <w:lang w:val="en-US"/>
              </w:rPr>
            </w:pPr>
            <w:r w:rsidRPr="005E25BA">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5E25BA" w:rsidRDefault="00FE5F3F" w:rsidP="0047607A">
            <w:pPr>
              <w:spacing w:after="0" w:line="240" w:lineRule="auto"/>
              <w:rPr>
                <w:b/>
                <w:lang w:val="en-US"/>
              </w:rPr>
            </w:pPr>
            <w:r w:rsidRPr="005E25BA">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5E25BA" w:rsidRDefault="00A602BF" w:rsidP="0047607A">
            <w:pPr>
              <w:spacing w:after="0" w:line="240" w:lineRule="auto"/>
              <w:rPr>
                <w:lang w:val="en-US"/>
              </w:rPr>
            </w:pPr>
            <w:r w:rsidRPr="005E25BA">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5E25BA" w:rsidRDefault="00FE5F3F" w:rsidP="0047607A">
            <w:pPr>
              <w:spacing w:after="0" w:line="240" w:lineRule="auto"/>
              <w:rPr>
                <w:b/>
                <w:lang w:val="en-US"/>
              </w:rPr>
            </w:pPr>
            <w:r w:rsidRPr="005E25BA">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5E25BA" w:rsidRDefault="00FE5F3F" w:rsidP="0047607A">
            <w:pPr>
              <w:spacing w:after="0" w:line="240" w:lineRule="auto"/>
              <w:rPr>
                <w:lang w:val="en-US"/>
              </w:rPr>
            </w:pPr>
            <w:r w:rsidRPr="005E25BA">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5E25BA" w:rsidRDefault="00FE5F3F" w:rsidP="0047607A">
            <w:pPr>
              <w:spacing w:after="0" w:line="240" w:lineRule="auto"/>
              <w:rPr>
                <w:b/>
                <w:lang w:val="en-US"/>
              </w:rPr>
            </w:pPr>
            <w:r w:rsidRPr="005E25BA">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5E25BA" w:rsidRDefault="00FE5F3F" w:rsidP="0047607A">
            <w:pPr>
              <w:spacing w:after="0" w:line="240" w:lineRule="auto"/>
              <w:rPr>
                <w:lang w:val="en-US"/>
              </w:rPr>
            </w:pPr>
            <w:r w:rsidRPr="005E25BA">
              <w:rPr>
                <w:lang w:val="en-US"/>
              </w:rPr>
              <w:t>1</w:t>
            </w:r>
          </w:p>
        </w:tc>
      </w:tr>
      <w:tr w:rsidR="00FE5F3F" w:rsidRPr="005E25BA"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5E25BA" w:rsidRDefault="00FE5F3F" w:rsidP="0047607A">
            <w:pPr>
              <w:spacing w:after="0" w:line="240" w:lineRule="auto"/>
              <w:rPr>
                <w:b/>
                <w:color w:val="000000"/>
                <w:lang w:val="en-US"/>
              </w:rPr>
            </w:pPr>
            <w:r w:rsidRPr="005E25BA">
              <w:rPr>
                <w:b/>
                <w:color w:val="000000"/>
                <w:lang w:val="en-US"/>
              </w:rPr>
              <w:t>General description of the organisation</w:t>
            </w:r>
          </w:p>
        </w:tc>
      </w:tr>
      <w:tr w:rsidR="00FE5F3F" w:rsidRPr="005E25BA"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DD623D5" w:rsidR="00FE5F3F" w:rsidRPr="005E25BA" w:rsidRDefault="00A602BF" w:rsidP="005E25BA">
            <w:pPr>
              <w:pStyle w:val="H2020Standard"/>
              <w:rPr>
                <w:lang w:val="en-US"/>
              </w:rPr>
            </w:pPr>
            <w:r w:rsidRPr="005E25BA">
              <w:rPr>
                <w:b/>
                <w:lang w:val="en-US"/>
              </w:rPr>
              <w:t>SIListra Systems GmbH</w:t>
            </w:r>
            <w:r w:rsidR="00FE5F3F" w:rsidRPr="005E25BA">
              <w:rPr>
                <w:b/>
                <w:lang w:val="en-US"/>
              </w:rPr>
              <w:t xml:space="preserve"> (</w:t>
            </w:r>
            <w:r w:rsidRPr="005E25BA">
              <w:rPr>
                <w:b/>
                <w:lang w:val="en-US"/>
              </w:rPr>
              <w:t>SIL</w:t>
            </w:r>
            <w:r w:rsidR="00FE5F3F" w:rsidRPr="005E25BA">
              <w:rPr>
                <w:b/>
                <w:lang w:val="en-US"/>
              </w:rPr>
              <w:t xml:space="preserve">) </w:t>
            </w:r>
            <w:r w:rsidR="005E25BA" w:rsidRPr="005E25BA">
              <w:rPr>
                <w:lang w:val="en-US"/>
              </w:rPr>
              <w:t>is an IT company (SME) focusing on functional safety and security. Its core competence is the simulation and detection of hardware execution errors which could harm both safety and security of a given (embedded) system. Across several industry sectors, SIListra Systems is well-known for being experts in Software-based Failure Injection and, especially, Software Coded Processing – a software technique allowing to fulfill highest requirements of industry standards for functional safety and requirements for security. SIListra Systems was founded in 2012 as a spin-off from the Technical University of Dresden.</w:t>
            </w:r>
          </w:p>
        </w:tc>
      </w:tr>
      <w:tr w:rsidR="00FE5F3F" w:rsidRPr="005E25BA"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5E25BA" w:rsidRDefault="00FE5F3F" w:rsidP="0047607A">
            <w:pPr>
              <w:spacing w:after="0" w:line="240" w:lineRule="auto"/>
              <w:rPr>
                <w:b/>
                <w:bCs/>
                <w:color w:val="000000"/>
                <w:lang w:val="en-US"/>
              </w:rPr>
            </w:pPr>
            <w:r w:rsidRPr="005E25BA">
              <w:rPr>
                <w:b/>
                <w:color w:val="000000"/>
                <w:lang w:val="en-US"/>
              </w:rPr>
              <w:t>Name and Description of the Department(s) contributing to the execution of the Project</w:t>
            </w:r>
          </w:p>
        </w:tc>
      </w:tr>
      <w:tr w:rsidR="00FE5F3F" w:rsidRPr="005E25BA"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280BB4B" w14:textId="2EB8EC1E" w:rsidR="00A602BF" w:rsidRPr="005E25BA" w:rsidRDefault="00A602BF" w:rsidP="00A602BF">
            <w:pPr>
              <w:pStyle w:val="H2020Standard"/>
              <w:spacing w:line="240" w:lineRule="auto"/>
              <w:rPr>
                <w:lang w:val="en-US"/>
              </w:rPr>
            </w:pPr>
            <w:r w:rsidRPr="005E25BA">
              <w:rPr>
                <w:b/>
                <w:bCs/>
                <w:color w:val="000000"/>
                <w:lang w:val="en-US"/>
              </w:rPr>
              <w:lastRenderedPageBreak/>
              <w:t>Development department</w:t>
            </w:r>
            <w:r w:rsidR="00FE5F3F" w:rsidRPr="005E25BA">
              <w:rPr>
                <w:b/>
                <w:bCs/>
                <w:color w:val="000000"/>
                <w:lang w:val="en-US"/>
              </w:rPr>
              <w:t>:</w:t>
            </w:r>
          </w:p>
          <w:p w14:paraId="27320728" w14:textId="7A603CAF" w:rsidR="00FE5F3F" w:rsidRPr="005E25BA" w:rsidRDefault="00FE5F3F" w:rsidP="0047607A">
            <w:pPr>
              <w:pStyle w:val="H2020Standard"/>
              <w:spacing w:after="0" w:line="240" w:lineRule="auto"/>
              <w:rPr>
                <w:b/>
                <w:bCs/>
                <w:color w:val="000000"/>
                <w:lang w:val="en-US"/>
              </w:rPr>
            </w:pPr>
            <w:r w:rsidRPr="005E25BA">
              <w:rPr>
                <w:lang w:val="en-US"/>
              </w:rPr>
              <w:t>.</w:t>
            </w:r>
          </w:p>
        </w:tc>
      </w:tr>
      <w:tr w:rsidR="00FE5F3F" w:rsidRPr="005E25BA"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5E25BA" w:rsidRDefault="00FE5F3F" w:rsidP="0047607A">
            <w:pPr>
              <w:spacing w:after="0" w:line="240" w:lineRule="auto"/>
              <w:rPr>
                <w:b/>
                <w:color w:val="000000"/>
                <w:lang w:val="en-US"/>
              </w:rPr>
            </w:pPr>
            <w:r w:rsidRPr="005E25BA">
              <w:rPr>
                <w:b/>
                <w:color w:val="000000"/>
                <w:lang w:val="en-US"/>
              </w:rPr>
              <w:t>Main attributed tasks and role in the project</w:t>
            </w:r>
          </w:p>
        </w:tc>
      </w:tr>
      <w:tr w:rsidR="00FE5F3F" w:rsidRPr="005E25BA"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4AA801C" w:rsidR="00FE5F3F" w:rsidRPr="005E25BA" w:rsidRDefault="00A602BF" w:rsidP="00A602BF">
            <w:pPr>
              <w:pStyle w:val="H2020Standard"/>
              <w:spacing w:after="0" w:line="240" w:lineRule="auto"/>
              <w:rPr>
                <w:b/>
                <w:lang w:val="en-US"/>
              </w:rPr>
            </w:pPr>
            <w:r w:rsidRPr="005E25BA">
              <w:rPr>
                <w:lang w:val="en-US"/>
              </w:rPr>
              <w:t>SIL will coordinate and build the secure container infrastructure and ..</w:t>
            </w:r>
            <w:r w:rsidR="00FE5F3F" w:rsidRPr="005E25BA">
              <w:rPr>
                <w:lang w:val="en-US"/>
              </w:rPr>
              <w:t>.</w:t>
            </w:r>
          </w:p>
        </w:tc>
      </w:tr>
      <w:tr w:rsidR="00FE5F3F" w:rsidRPr="005E25BA"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5E25BA" w:rsidRDefault="00FE5F3F" w:rsidP="0047607A">
            <w:pPr>
              <w:spacing w:after="0" w:line="240" w:lineRule="auto"/>
              <w:rPr>
                <w:b/>
                <w:color w:val="000000"/>
                <w:lang w:val="en-US"/>
              </w:rPr>
            </w:pPr>
            <w:r w:rsidRPr="005E25BA">
              <w:rPr>
                <w:b/>
                <w:lang w:val="en-US"/>
              </w:rPr>
              <w:t>Relevant skills and previous experiences</w:t>
            </w:r>
          </w:p>
        </w:tc>
      </w:tr>
      <w:tr w:rsidR="00FE5F3F" w:rsidRPr="005E25BA"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AA95C9F" w14:textId="76E2ED1A" w:rsidR="00FE5F3F" w:rsidRPr="005E25BA" w:rsidRDefault="00A602BF" w:rsidP="0047607A">
            <w:pPr>
              <w:pStyle w:val="H2020Standard"/>
              <w:spacing w:after="0" w:line="240" w:lineRule="auto"/>
              <w:rPr>
                <w:lang w:val="en-US"/>
              </w:rPr>
            </w:pPr>
            <w:r w:rsidRPr="005E25BA">
              <w:rPr>
                <w:lang w:val="en-US"/>
              </w:rPr>
              <w:t>..</w:t>
            </w:r>
            <w:r w:rsidR="00FE5F3F" w:rsidRPr="005E25BA">
              <w:rPr>
                <w:lang w:val="en-US"/>
              </w:rPr>
              <w:t>.</w:t>
            </w:r>
          </w:p>
        </w:tc>
      </w:tr>
      <w:tr w:rsidR="00FE5F3F" w:rsidRPr="005E25BA"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5E25BA" w:rsidRDefault="00FE5F3F" w:rsidP="0047607A">
            <w:pPr>
              <w:spacing w:after="0" w:line="240" w:lineRule="auto"/>
              <w:rPr>
                <w:b/>
                <w:color w:val="000000"/>
                <w:lang w:val="en-US"/>
              </w:rPr>
            </w:pPr>
            <w:r w:rsidRPr="005E25BA">
              <w:rPr>
                <w:b/>
                <w:lang w:val="en-US"/>
              </w:rPr>
              <w:t>Profile description of key personnel carrying out the work</w:t>
            </w:r>
          </w:p>
        </w:tc>
      </w:tr>
      <w:tr w:rsidR="00FE5F3F" w:rsidRPr="005E25BA"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3493032F" w:rsidR="0013585F" w:rsidRDefault="0013585F" w:rsidP="00474089">
            <w:pPr>
              <w:pStyle w:val="H2020Standard"/>
              <w:spacing w:line="240" w:lineRule="auto"/>
              <w:rPr>
                <w:b/>
                <w:color w:val="000000"/>
                <w:lang w:val="en-US"/>
              </w:rPr>
            </w:pPr>
            <w:r>
              <w:rPr>
                <w:b/>
                <w:color w:val="000000"/>
                <w:lang w:val="en-US"/>
              </w:rPr>
              <w:t xml:space="preserve">Dr. Martin Süßkraut </w:t>
            </w:r>
            <w:bookmarkStart w:id="6" w:name="_GoBack"/>
            <w:r w:rsidRPr="0013585F">
              <w:rPr>
                <w:color w:val="000000"/>
                <w:lang w:val="en-US"/>
              </w:rPr>
              <w:t>(m)</w:t>
            </w:r>
            <w:proofErr w:type="gramStart"/>
            <w:r>
              <w:rPr>
                <w:b/>
                <w:color w:val="000000"/>
                <w:lang w:val="en-US"/>
              </w:rPr>
              <w:t xml:space="preserve"> </w:t>
            </w:r>
            <w:bookmarkEnd w:id="6"/>
            <w:r>
              <w:rPr>
                <w:b/>
                <w:color w:val="000000"/>
                <w:lang w:val="en-US"/>
              </w:rPr>
              <w:t>..</w:t>
            </w:r>
            <w:proofErr w:type="gramEnd"/>
          </w:p>
          <w:p w14:paraId="4B8B5A27" w14:textId="4EF6E2C8" w:rsidR="00FE5F3F" w:rsidRPr="005E25BA" w:rsidRDefault="00FE5F3F" w:rsidP="00474089">
            <w:pPr>
              <w:pStyle w:val="H2020Standard"/>
              <w:spacing w:line="240" w:lineRule="auto"/>
              <w:rPr>
                <w:color w:val="000000"/>
                <w:lang w:val="en-US"/>
              </w:rPr>
            </w:pPr>
            <w:r w:rsidRPr="005E25BA">
              <w:rPr>
                <w:b/>
                <w:color w:val="000000"/>
                <w:lang w:val="en-US"/>
              </w:rPr>
              <w:t xml:space="preserve">Prof. Christof Fetzer </w:t>
            </w:r>
            <w:r w:rsidRPr="005E25BA">
              <w:rPr>
                <w:color w:val="000000"/>
                <w:lang w:val="en-US"/>
              </w:rPr>
              <w:t xml:space="preserve">(m) </w:t>
            </w:r>
            <w:r w:rsidRPr="005E25BA">
              <w:rPr>
                <w:lang w:val="en-US"/>
              </w:rPr>
              <w:t xml:space="preserve">has received his diploma in Computer Science from the University of Kaiserlautern, Germany (Dec. 1992) and his Ph.D. from UC San Diego (March 1997).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5E25BA">
              <w:rPr>
                <w:lang w:val="en-US"/>
              </w:rPr>
              <w:t>has won five best paper / best student paper awards (DEBS2013, LISA2013, CLOUD2014, SRDS2014, DSN2015) in recent years, and has been member of more than 50 program committees.</w:t>
            </w:r>
          </w:p>
          <w:p w14:paraId="12C1374A" w14:textId="6717DD68" w:rsidR="005811C4" w:rsidRPr="005E25BA" w:rsidRDefault="005811C4" w:rsidP="005811C4">
            <w:pPr>
              <w:spacing w:after="240" w:line="240" w:lineRule="auto"/>
              <w:jc w:val="both"/>
              <w:rPr>
                <w:rFonts w:ascii="Times New Roman" w:eastAsia="Times New Roman" w:hAnsi="Times New Roman" w:cs="Times New Roman"/>
                <w:b/>
                <w:lang w:val="en-US" w:eastAsia="de-DE"/>
              </w:rPr>
            </w:pPr>
            <w:r w:rsidRPr="005E25BA">
              <w:rPr>
                <w:rFonts w:ascii="Times New Roman" w:eastAsia="Times New Roman" w:hAnsi="Times New Roman" w:cs="Times New Roman"/>
                <w:b/>
                <w:lang w:val="en-US" w:eastAsia="de-DE"/>
              </w:rPr>
              <w:t xml:space="preserve">Dr. André Martin (M) </w:t>
            </w:r>
            <w:r w:rsidRPr="005E25BA">
              <w:rPr>
                <w:rFonts w:ascii="Times New Roman" w:eastAsia="Times New Roman" w:hAnsi="Times New Roman" w:cs="Times New Roman"/>
                <w:lang w:val="en-US" w:eastAsia="de-DE"/>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p>
          <w:p w14:paraId="67BBFD60" w14:textId="02EC7A64" w:rsidR="005811C4" w:rsidRPr="005811C4" w:rsidRDefault="005811C4" w:rsidP="005811C4">
            <w:pPr>
              <w:spacing w:after="240" w:line="240" w:lineRule="auto"/>
              <w:rPr>
                <w:rFonts w:ascii="Times New Roman" w:eastAsia="Times New Roman" w:hAnsi="Times New Roman" w:cs="Times New Roman"/>
                <w:lang w:val="en-US" w:eastAsia="de-DE"/>
              </w:rPr>
            </w:pPr>
            <w:r w:rsidRPr="005811C4">
              <w:rPr>
                <w:rFonts w:ascii="Times New Roman" w:eastAsia="Times New Roman" w:hAnsi="Times New Roman" w:cs="Times New Roman"/>
                <w:b/>
                <w:lang w:val="en-US" w:eastAsia="de-DE"/>
              </w:rPr>
              <w:t>Dr.-Ing. Irina Karadschow</w:t>
            </w:r>
            <w:r w:rsidRPr="005811C4">
              <w:rPr>
                <w:rFonts w:ascii="Times New Roman" w:eastAsia="Times New Roman" w:hAnsi="Times New Roman" w:cs="Times New Roman"/>
                <w:lang w:val="en-US" w:eastAsia="de-DE"/>
              </w:rPr>
              <w:t xml:space="preserve"> (F) is a project coordinator/ manager. Dr. Karadschow has extensive experiences in managing and coordinating EU, BMBF, DFG, AiF and BMWi- funded research projects. She has received her Magister degree (2002- Industrial Management) at the Technical University Sofia, her Diploma degree (2005- Business Administration and Management) and her Doctor title (2015 Mechanical Engineering) at the Technical University Dresden. </w:t>
            </w:r>
          </w:p>
          <w:p w14:paraId="518D58BA" w14:textId="2F70998F" w:rsidR="00FE5F3F" w:rsidRPr="005E25BA" w:rsidRDefault="00FE5F3F" w:rsidP="0047607A">
            <w:pPr>
              <w:pStyle w:val="H2020Standard"/>
              <w:spacing w:line="240" w:lineRule="auto"/>
              <w:rPr>
                <w:lang w:val="en-US"/>
              </w:rPr>
            </w:pPr>
          </w:p>
        </w:tc>
      </w:tr>
      <w:tr w:rsidR="00FE5F3F" w:rsidRPr="005E25BA"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5E25BA" w:rsidRDefault="00FE5F3F" w:rsidP="0047607A">
            <w:pPr>
              <w:spacing w:after="0" w:line="240" w:lineRule="auto"/>
              <w:rPr>
                <w:b/>
                <w:color w:val="000000"/>
                <w:lang w:val="en-US"/>
              </w:rPr>
            </w:pPr>
            <w:r w:rsidRPr="005E25BA">
              <w:rPr>
                <w:b/>
                <w:lang w:val="en-US"/>
              </w:rPr>
              <w:t>Publications, other research or innovation products, or patents related to the project</w:t>
            </w:r>
          </w:p>
        </w:tc>
      </w:tr>
      <w:tr w:rsidR="00FE5F3F" w:rsidRPr="005E25BA"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5E25BA" w:rsidRDefault="00FE5F3F" w:rsidP="0047607A">
            <w:pPr>
              <w:spacing w:after="0" w:line="240" w:lineRule="auto"/>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4756"/>
              <w:gridCol w:w="4114"/>
            </w:tblGrid>
            <w:tr w:rsidR="00FE5F3F" w:rsidRPr="005E25BA"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5E25BA" w:rsidRDefault="00FE5F3F" w:rsidP="0047607A">
                  <w:pPr>
                    <w:keepNext/>
                    <w:spacing w:after="0" w:line="240" w:lineRule="auto"/>
                    <w:rPr>
                      <w:b/>
                      <w:lang w:val="en-US"/>
                    </w:rPr>
                  </w:pPr>
                  <w:r w:rsidRPr="005E25BA">
                    <w:rPr>
                      <w:b/>
                      <w:lang w:val="en-US"/>
                    </w:rPr>
                    <w:t>No.</w:t>
                  </w:r>
                </w:p>
              </w:tc>
              <w:tc>
                <w:tcPr>
                  <w:tcW w:w="0" w:type="auto"/>
                  <w:tcBorders>
                    <w:top w:val="single" w:sz="4" w:space="0" w:color="auto"/>
                  </w:tcBorders>
                  <w:shd w:val="clear" w:color="auto" w:fill="EEF3F8"/>
                  <w:vAlign w:val="center"/>
                  <w:hideMark/>
                </w:tcPr>
                <w:p w14:paraId="7819F7CC" w14:textId="77777777" w:rsidR="00FE5F3F" w:rsidRPr="005E25BA" w:rsidRDefault="00FE5F3F" w:rsidP="0047607A">
                  <w:pPr>
                    <w:keepNext/>
                    <w:spacing w:after="0" w:line="240" w:lineRule="auto"/>
                    <w:rPr>
                      <w:b/>
                      <w:lang w:val="en-US"/>
                    </w:rPr>
                  </w:pPr>
                  <w:r w:rsidRPr="005E25BA">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5E25BA" w:rsidRDefault="00FE5F3F" w:rsidP="0047607A">
                  <w:pPr>
                    <w:keepNext/>
                    <w:spacing w:after="0" w:line="240" w:lineRule="auto"/>
                    <w:rPr>
                      <w:b/>
                      <w:lang w:val="en-US"/>
                    </w:rPr>
                  </w:pPr>
                  <w:r w:rsidRPr="005E25BA">
                    <w:rPr>
                      <w:b/>
                      <w:lang w:val="en-US"/>
                    </w:rPr>
                    <w:t>Relevance for the Project</w:t>
                  </w:r>
                </w:p>
              </w:tc>
            </w:tr>
            <w:tr w:rsidR="00FE5F3F" w:rsidRPr="005E25BA" w14:paraId="30E8EAC6" w14:textId="77777777" w:rsidTr="0047607A">
              <w:trPr>
                <w:cantSplit/>
                <w:trHeight w:val="340"/>
              </w:trPr>
              <w:tc>
                <w:tcPr>
                  <w:tcW w:w="0" w:type="auto"/>
                  <w:hideMark/>
                </w:tcPr>
                <w:p w14:paraId="61975817" w14:textId="77777777" w:rsidR="00FE5F3F" w:rsidRPr="005E25BA" w:rsidRDefault="00FE5F3F" w:rsidP="0047607A">
                  <w:pPr>
                    <w:keepNext/>
                    <w:spacing w:after="0" w:line="240" w:lineRule="auto"/>
                    <w:jc w:val="center"/>
                    <w:rPr>
                      <w:lang w:val="en-US"/>
                    </w:rPr>
                  </w:pPr>
                  <w:r w:rsidRPr="005E25BA">
                    <w:rPr>
                      <w:lang w:val="en-US"/>
                    </w:rPr>
                    <w:t>1</w:t>
                  </w:r>
                </w:p>
              </w:tc>
              <w:tc>
                <w:tcPr>
                  <w:tcW w:w="0" w:type="auto"/>
                </w:tcPr>
                <w:p w14:paraId="76158165" w14:textId="77777777" w:rsidR="00474089" w:rsidRPr="005E25BA" w:rsidRDefault="00474089" w:rsidP="00474089">
                  <w:pPr>
                    <w:pStyle w:val="H2020SLT"/>
                    <w:spacing w:after="0" w:line="240" w:lineRule="auto"/>
                    <w:rPr>
                      <w:lang w:val="en-US"/>
                    </w:rPr>
                  </w:pPr>
                  <w:r w:rsidRPr="005E25BA">
                    <w:rPr>
                      <w:lang w:val="en-US"/>
                    </w:rPr>
                    <w:t>Thomas Knauth, Christof Fetzer, dsync: Efficient Block-wise</w:t>
                  </w:r>
                </w:p>
                <w:p w14:paraId="061B5F2C" w14:textId="743FEC37" w:rsidR="00FE5F3F" w:rsidRPr="005E25BA" w:rsidRDefault="00474089" w:rsidP="00474089">
                  <w:pPr>
                    <w:pStyle w:val="H2020SLT"/>
                    <w:spacing w:after="0" w:line="240" w:lineRule="auto"/>
                    <w:rPr>
                      <w:lang w:val="en-US"/>
                    </w:rPr>
                  </w:pPr>
                  <w:r w:rsidRPr="005E25BA">
                    <w:rPr>
                      <w:lang w:val="en-US"/>
                    </w:rPr>
                    <w:t>Synchronization of Multi-Gigabyte Binary Data (Best paper award)</w:t>
                  </w:r>
                </w:p>
              </w:tc>
              <w:tc>
                <w:tcPr>
                  <w:tcW w:w="0" w:type="auto"/>
                </w:tcPr>
                <w:p w14:paraId="631ED547" w14:textId="77777777" w:rsidR="00FE5F3F" w:rsidRPr="005E25BA" w:rsidRDefault="00FE5F3F" w:rsidP="0047607A">
                  <w:pPr>
                    <w:pStyle w:val="H2020SLT"/>
                    <w:spacing w:after="0" w:line="240" w:lineRule="auto"/>
                    <w:rPr>
                      <w:lang w:val="en-US"/>
                    </w:rPr>
                  </w:pPr>
                  <w:r w:rsidRPr="005E25BA">
                    <w:rPr>
                      <w:lang w:val="en-US"/>
                    </w:rPr>
                    <w:t>Efficient mechanisms for data transfers in cloud environments.</w:t>
                  </w:r>
                </w:p>
              </w:tc>
            </w:tr>
          </w:tbl>
          <w:p w14:paraId="4B83D604" w14:textId="77777777" w:rsidR="00FE5F3F" w:rsidRPr="005E25BA" w:rsidRDefault="00FE5F3F" w:rsidP="0047607A">
            <w:pPr>
              <w:spacing w:after="0" w:line="240" w:lineRule="auto"/>
              <w:rPr>
                <w:sz w:val="8"/>
                <w:lang w:val="en-US"/>
              </w:rPr>
            </w:pPr>
          </w:p>
        </w:tc>
      </w:tr>
      <w:tr w:rsidR="00FE5F3F" w:rsidRPr="005E25BA"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5E25BA" w:rsidRDefault="00FE5F3F" w:rsidP="0047607A">
            <w:pPr>
              <w:spacing w:after="0" w:line="240" w:lineRule="auto"/>
              <w:rPr>
                <w:b/>
                <w:color w:val="000000"/>
                <w:lang w:val="en-US"/>
              </w:rPr>
            </w:pPr>
            <w:r w:rsidRPr="005E25BA">
              <w:rPr>
                <w:b/>
                <w:lang w:val="en-US"/>
              </w:rPr>
              <w:t>Relevant previous projects/activities</w:t>
            </w:r>
          </w:p>
        </w:tc>
      </w:tr>
      <w:tr w:rsidR="00FE5F3F" w:rsidRPr="005E25BA"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DAB23FF" w14:textId="77777777" w:rsidR="00FE5F3F" w:rsidRPr="005E25BA" w:rsidRDefault="00FE5F3F" w:rsidP="0047607A">
            <w:pPr>
              <w:spacing w:after="0" w:line="240" w:lineRule="auto"/>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4704"/>
              <w:gridCol w:w="4166"/>
            </w:tblGrid>
            <w:tr w:rsidR="00FE5F3F" w:rsidRPr="005E25BA" w14:paraId="512B30E2" w14:textId="77777777" w:rsidTr="0047607A">
              <w:trPr>
                <w:cantSplit/>
                <w:trHeight w:val="340"/>
              </w:trPr>
              <w:tc>
                <w:tcPr>
                  <w:tcW w:w="0" w:type="auto"/>
                  <w:tcBorders>
                    <w:top w:val="single" w:sz="4" w:space="0" w:color="auto"/>
                  </w:tcBorders>
                  <w:shd w:val="clear" w:color="auto" w:fill="EEF3F8"/>
                  <w:vAlign w:val="center"/>
                  <w:hideMark/>
                </w:tcPr>
                <w:p w14:paraId="2990F316" w14:textId="77777777" w:rsidR="00FE5F3F" w:rsidRPr="005E25BA" w:rsidRDefault="00FE5F3F" w:rsidP="0047607A">
                  <w:pPr>
                    <w:keepNext/>
                    <w:spacing w:after="0" w:line="240" w:lineRule="auto"/>
                    <w:rPr>
                      <w:b/>
                      <w:lang w:val="en-US"/>
                    </w:rPr>
                  </w:pPr>
                  <w:r w:rsidRPr="005E25BA">
                    <w:rPr>
                      <w:b/>
                      <w:lang w:val="en-US"/>
                    </w:rPr>
                    <w:t>No.</w:t>
                  </w:r>
                </w:p>
              </w:tc>
              <w:tc>
                <w:tcPr>
                  <w:tcW w:w="0" w:type="auto"/>
                  <w:tcBorders>
                    <w:top w:val="single" w:sz="4" w:space="0" w:color="auto"/>
                  </w:tcBorders>
                  <w:shd w:val="clear" w:color="auto" w:fill="EEF3F8"/>
                  <w:vAlign w:val="center"/>
                  <w:hideMark/>
                </w:tcPr>
                <w:p w14:paraId="38CA59CD" w14:textId="77777777" w:rsidR="00FE5F3F" w:rsidRPr="005E25BA" w:rsidRDefault="00FE5F3F" w:rsidP="0047607A">
                  <w:pPr>
                    <w:keepNext/>
                    <w:spacing w:after="0" w:line="240" w:lineRule="auto"/>
                    <w:rPr>
                      <w:b/>
                      <w:lang w:val="en-US"/>
                    </w:rPr>
                  </w:pPr>
                  <w:r w:rsidRPr="005E25BA">
                    <w:rPr>
                      <w:rFonts w:ascii="Calibri" w:hAnsi="Calibri"/>
                      <w:b/>
                      <w:lang w:val="en-US"/>
                    </w:rPr>
                    <w:t>Acronym, Name and Short Description of the previous Project and Activity</w:t>
                  </w:r>
                </w:p>
              </w:tc>
              <w:tc>
                <w:tcPr>
                  <w:tcW w:w="0" w:type="auto"/>
                  <w:tcBorders>
                    <w:top w:val="single" w:sz="4" w:space="0" w:color="auto"/>
                  </w:tcBorders>
                  <w:shd w:val="clear" w:color="auto" w:fill="EEF3F8"/>
                  <w:vAlign w:val="center"/>
                  <w:hideMark/>
                </w:tcPr>
                <w:p w14:paraId="45E3D9E6" w14:textId="77777777" w:rsidR="00FE5F3F" w:rsidRPr="005E25BA" w:rsidRDefault="00FE5F3F" w:rsidP="0047607A">
                  <w:pPr>
                    <w:keepNext/>
                    <w:spacing w:after="0" w:line="240" w:lineRule="auto"/>
                    <w:rPr>
                      <w:b/>
                      <w:lang w:val="en-US"/>
                    </w:rPr>
                  </w:pPr>
                  <w:r w:rsidRPr="005E25BA">
                    <w:rPr>
                      <w:b/>
                      <w:lang w:val="en-US"/>
                    </w:rPr>
                    <w:t>Relevance for the Project</w:t>
                  </w:r>
                </w:p>
              </w:tc>
            </w:tr>
            <w:tr w:rsidR="00FE5F3F" w:rsidRPr="005E25BA" w14:paraId="58171D47" w14:textId="77777777" w:rsidTr="0047607A">
              <w:trPr>
                <w:cantSplit/>
                <w:trHeight w:val="340"/>
              </w:trPr>
              <w:tc>
                <w:tcPr>
                  <w:tcW w:w="0" w:type="auto"/>
                  <w:hideMark/>
                </w:tcPr>
                <w:p w14:paraId="00FF3043" w14:textId="77777777" w:rsidR="00FE5F3F" w:rsidRPr="005E25BA" w:rsidRDefault="00FE5F3F" w:rsidP="0047607A">
                  <w:pPr>
                    <w:keepNext/>
                    <w:spacing w:after="0" w:line="240" w:lineRule="auto"/>
                    <w:jc w:val="center"/>
                    <w:rPr>
                      <w:lang w:val="en-US"/>
                    </w:rPr>
                  </w:pPr>
                  <w:r w:rsidRPr="005E25BA">
                    <w:rPr>
                      <w:lang w:val="en-US"/>
                    </w:rPr>
                    <w:t>1</w:t>
                  </w:r>
                </w:p>
              </w:tc>
              <w:tc>
                <w:tcPr>
                  <w:tcW w:w="0" w:type="auto"/>
                </w:tcPr>
                <w:p w14:paraId="58EB2BDE" w14:textId="5A6A7F07" w:rsidR="00FE5F3F" w:rsidRPr="005E25BA" w:rsidRDefault="00A602BF" w:rsidP="0047607A">
                  <w:pPr>
                    <w:pStyle w:val="H2020SLT"/>
                    <w:spacing w:after="0" w:line="240" w:lineRule="auto"/>
                    <w:rPr>
                      <w:lang w:val="en-US"/>
                    </w:rPr>
                  </w:pPr>
                  <w:r w:rsidRPr="005E25BA">
                    <w:rPr>
                      <w:lang w:val="en-US"/>
                    </w:rPr>
                    <w:t>none</w:t>
                  </w:r>
                </w:p>
              </w:tc>
              <w:tc>
                <w:tcPr>
                  <w:tcW w:w="0" w:type="auto"/>
                </w:tcPr>
                <w:p w14:paraId="50FEBFF6" w14:textId="77777777" w:rsidR="00FE5F3F" w:rsidRPr="005E25BA" w:rsidRDefault="00FE5F3F" w:rsidP="0047607A">
                  <w:pPr>
                    <w:pStyle w:val="H2020SLT"/>
                    <w:spacing w:after="0" w:line="240" w:lineRule="auto"/>
                    <w:rPr>
                      <w:lang w:val="en-US"/>
                    </w:rPr>
                  </w:pPr>
                  <w:r w:rsidRPr="005E25BA">
                    <w:rPr>
                      <w:lang w:val="en-US"/>
                    </w:rPr>
                    <w:t>Scalable data crawling and processing in cloud environments.</w:t>
                  </w:r>
                </w:p>
              </w:tc>
            </w:tr>
          </w:tbl>
          <w:p w14:paraId="615EBCF7" w14:textId="77777777" w:rsidR="00FE5F3F" w:rsidRPr="005E25BA" w:rsidRDefault="00FE5F3F" w:rsidP="0047607A">
            <w:pPr>
              <w:spacing w:after="0" w:line="240" w:lineRule="auto"/>
              <w:rPr>
                <w:sz w:val="8"/>
                <w:lang w:val="en-US"/>
              </w:rPr>
            </w:pPr>
          </w:p>
        </w:tc>
      </w:tr>
      <w:tr w:rsidR="00FE5F3F" w:rsidRPr="005E25BA"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5E25BA" w:rsidRDefault="00FE5F3F" w:rsidP="0047607A">
            <w:pPr>
              <w:spacing w:after="0" w:line="240" w:lineRule="auto"/>
              <w:rPr>
                <w:b/>
                <w:lang w:val="en-US"/>
              </w:rPr>
            </w:pPr>
            <w:r w:rsidRPr="005E25BA">
              <w:rPr>
                <w:b/>
                <w:lang w:val="en-US"/>
              </w:rPr>
              <w:t>Relevant available infrastructure / equipment description</w:t>
            </w:r>
          </w:p>
        </w:tc>
      </w:tr>
      <w:tr w:rsidR="00FE5F3F" w:rsidRPr="005E25BA"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60B4E35B" w:rsidR="00FE5F3F" w:rsidRPr="005E25BA" w:rsidRDefault="00A602BF" w:rsidP="0047607A">
            <w:pPr>
              <w:pStyle w:val="H2020Standard"/>
              <w:spacing w:after="0" w:line="240" w:lineRule="auto"/>
              <w:rPr>
                <w:lang w:val="en-US"/>
              </w:rPr>
            </w:pPr>
            <w:r w:rsidRPr="005E25BA">
              <w:rPr>
                <w:lang w:val="en-US"/>
              </w:rPr>
              <w:t>SIL</w:t>
            </w:r>
          </w:p>
        </w:tc>
      </w:tr>
    </w:tbl>
    <w:p w14:paraId="48D691AF" w14:textId="77777777" w:rsidR="00A602BF" w:rsidRPr="005E25BA" w:rsidRDefault="00A602BF" w:rsidP="00A602BF">
      <w:pPr>
        <w:pStyle w:val="berschrift3"/>
        <w:spacing w:before="120" w:after="60" w:line="240" w:lineRule="auto"/>
        <w:rPr>
          <w:bCs w:val="0"/>
          <w:iCs/>
          <w:color w:val="2E74B5" w:themeColor="accent1" w:themeShade="BF"/>
          <w:lang w:val="en-US"/>
        </w:rPr>
      </w:pPr>
      <w:bookmarkStart w:id="7" w:name="_Toc417085840"/>
    </w:p>
    <w:p w14:paraId="0C7A81A2" w14:textId="77777777" w:rsidR="00A602BF" w:rsidRPr="005E25BA"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5E25BA">
        <w:rPr>
          <w:bCs/>
          <w:iCs/>
          <w:color w:val="2E74B5" w:themeColor="accent1" w:themeShade="BF"/>
          <w:lang w:val="en-US"/>
        </w:rPr>
        <w:br w:type="page"/>
      </w:r>
    </w:p>
    <w:p w14:paraId="0A3A81FB" w14:textId="77777777" w:rsidR="00FE5F3F" w:rsidRPr="005E25BA" w:rsidRDefault="00FE5F3F" w:rsidP="001431CE">
      <w:pPr>
        <w:pStyle w:val="berschrift3"/>
        <w:numPr>
          <w:ilvl w:val="2"/>
          <w:numId w:val="7"/>
        </w:numPr>
        <w:spacing w:before="120" w:after="60" w:line="240" w:lineRule="auto"/>
        <w:rPr>
          <w:bCs w:val="0"/>
          <w:iCs/>
          <w:color w:val="2E74B5" w:themeColor="accent1" w:themeShade="BF"/>
          <w:lang w:val="en-US"/>
        </w:rPr>
      </w:pPr>
      <w:bookmarkStart w:id="8" w:name="_Toc417085843"/>
      <w:bookmarkStart w:id="9" w:name="_Toc464741863"/>
      <w:bookmarkEnd w:id="7"/>
      <w:r w:rsidRPr="005E25BA">
        <w:rPr>
          <w:bCs w:val="0"/>
          <w:iCs/>
          <w:color w:val="2E74B5" w:themeColor="accent1" w:themeShade="BF"/>
          <w:lang w:val="en-US"/>
        </w:rPr>
        <w:lastRenderedPageBreak/>
        <w:t>Sync Lab S.r.l. (SYNC)</w:t>
      </w:r>
      <w:bookmarkEnd w:id="8"/>
      <w:bookmarkEnd w:id="9"/>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5E25BA"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5E25BA" w:rsidRDefault="00FE5F3F" w:rsidP="0047607A">
            <w:pPr>
              <w:spacing w:after="0" w:line="240" w:lineRule="auto"/>
              <w:rPr>
                <w:rFonts w:ascii="Calibri" w:eastAsia="Calibri" w:hAnsi="Calibri"/>
                <w:b/>
                <w:lang w:val="en-US"/>
              </w:rPr>
            </w:pPr>
            <w:r w:rsidRPr="005E25BA">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5E25BA" w:rsidRDefault="00FE5F3F" w:rsidP="0047607A">
            <w:pPr>
              <w:spacing w:after="0" w:line="240" w:lineRule="auto"/>
              <w:rPr>
                <w:i/>
                <w:color w:val="0070C0"/>
                <w:lang w:val="en-US"/>
              </w:rPr>
            </w:pPr>
            <w:r w:rsidRPr="005E25BA">
              <w:rPr>
                <w:noProof/>
                <w:lang w:val="en-US" w:eastAsia="de-DE"/>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5E25BA"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5E25BA" w:rsidRDefault="00FE5F3F" w:rsidP="0047607A">
            <w:pPr>
              <w:spacing w:after="0" w:line="240" w:lineRule="auto"/>
              <w:rPr>
                <w:rFonts w:ascii="Calibri" w:eastAsia="Calibri" w:hAnsi="Calibri"/>
                <w:lang w:val="en-US"/>
              </w:rPr>
            </w:pPr>
            <w:r w:rsidRPr="005E25BA">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5E25BA" w:rsidRDefault="00FE5F3F" w:rsidP="0047607A">
            <w:pPr>
              <w:spacing w:after="0" w:line="240" w:lineRule="auto"/>
              <w:rPr>
                <w:i/>
                <w:color w:val="0070C0"/>
                <w:lang w:val="en-US"/>
              </w:rPr>
            </w:pPr>
          </w:p>
        </w:tc>
      </w:tr>
      <w:tr w:rsidR="00FE5F3F" w:rsidRPr="005E25BA"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5E25BA" w:rsidRDefault="00FE5F3F" w:rsidP="0047607A">
            <w:pPr>
              <w:spacing w:after="0" w:line="240" w:lineRule="auto"/>
              <w:rPr>
                <w:b/>
                <w:lang w:val="en-US"/>
              </w:rPr>
            </w:pPr>
            <w:r w:rsidRPr="005E25BA">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5E25BA" w:rsidRDefault="00FE5F3F" w:rsidP="0047607A">
            <w:pPr>
              <w:spacing w:after="0" w:line="240" w:lineRule="auto"/>
              <w:rPr>
                <w:lang w:val="en-US"/>
              </w:rPr>
            </w:pPr>
            <w:r w:rsidRPr="005E25BA">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5E25BA" w:rsidRDefault="00FE5F3F" w:rsidP="0047607A">
            <w:pPr>
              <w:spacing w:after="0" w:line="240" w:lineRule="auto"/>
              <w:rPr>
                <w:b/>
                <w:lang w:val="en-US"/>
              </w:rPr>
            </w:pPr>
            <w:r w:rsidRPr="005E25BA">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5E25BA" w:rsidRDefault="00FE5F3F" w:rsidP="0047607A">
            <w:pPr>
              <w:spacing w:after="0" w:line="240" w:lineRule="auto"/>
              <w:rPr>
                <w:lang w:val="en-US"/>
              </w:rPr>
            </w:pPr>
            <w:r w:rsidRPr="005E25BA">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5E25BA" w:rsidRDefault="00FE5F3F" w:rsidP="0047607A">
            <w:pPr>
              <w:spacing w:after="0" w:line="240" w:lineRule="auto"/>
              <w:rPr>
                <w:b/>
                <w:lang w:val="en-US"/>
              </w:rPr>
            </w:pPr>
            <w:r w:rsidRPr="005E25BA">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5E25BA" w:rsidRDefault="00FE5F3F" w:rsidP="0047607A">
            <w:pPr>
              <w:spacing w:after="0" w:line="240" w:lineRule="auto"/>
              <w:rPr>
                <w:lang w:val="en-US"/>
              </w:rPr>
            </w:pPr>
            <w:r w:rsidRPr="005E25BA">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5E25BA" w:rsidRDefault="00FE5F3F" w:rsidP="0047607A">
            <w:pPr>
              <w:spacing w:after="0" w:line="240" w:lineRule="auto"/>
              <w:rPr>
                <w:b/>
                <w:lang w:val="en-US"/>
              </w:rPr>
            </w:pPr>
            <w:r w:rsidRPr="005E25BA">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77777777" w:rsidR="00FE5F3F" w:rsidRPr="005E25BA" w:rsidRDefault="00FE5F3F" w:rsidP="0047607A">
            <w:pPr>
              <w:spacing w:after="0" w:line="240" w:lineRule="auto"/>
              <w:rPr>
                <w:lang w:val="en-US"/>
              </w:rPr>
            </w:pPr>
            <w:r w:rsidRPr="005E25BA">
              <w:rPr>
                <w:lang w:val="en-US"/>
              </w:rPr>
              <w:t>5</w:t>
            </w:r>
          </w:p>
        </w:tc>
      </w:tr>
      <w:tr w:rsidR="00FE5F3F" w:rsidRPr="005E25BA"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5E25BA" w:rsidRDefault="00FE5F3F" w:rsidP="0047607A">
            <w:pPr>
              <w:spacing w:after="0" w:line="240" w:lineRule="auto"/>
              <w:rPr>
                <w:b/>
                <w:color w:val="000000"/>
                <w:lang w:val="en-US"/>
              </w:rPr>
            </w:pPr>
            <w:r w:rsidRPr="005E25BA">
              <w:rPr>
                <w:b/>
                <w:color w:val="000000"/>
                <w:lang w:val="en-US"/>
              </w:rPr>
              <w:t>General description of the organisation</w:t>
            </w:r>
          </w:p>
        </w:tc>
      </w:tr>
      <w:tr w:rsidR="00FE5F3F" w:rsidRPr="005E25BA"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25CAE7A" w14:textId="77777777" w:rsidR="00FE5F3F" w:rsidRPr="005E25BA" w:rsidRDefault="00FE5F3F" w:rsidP="001431CE">
            <w:pPr>
              <w:pStyle w:val="H2020Standard"/>
              <w:spacing w:after="80" w:line="240" w:lineRule="auto"/>
              <w:rPr>
                <w:lang w:val="en-US"/>
              </w:rPr>
            </w:pPr>
            <w:r w:rsidRPr="005E25BA">
              <w:rPr>
                <w:lang w:val="en-US"/>
              </w:rPr>
              <w:t>SYNC LAB SRL (www.synclab.it) is an Italian SME active in the ICT field with focus on software and service development and integration. It was established in Naples in 2006, South of Italy, and currently has four branches in four of the major Italian cities, namely: Rome, Milan, Naples, and Padua.</w:t>
            </w:r>
          </w:p>
          <w:p w14:paraId="589E43ED" w14:textId="3E496BA0" w:rsidR="00FE5F3F" w:rsidRPr="005E25BA" w:rsidRDefault="00FE5F3F" w:rsidP="001431CE">
            <w:pPr>
              <w:pStyle w:val="H2020Standard"/>
              <w:spacing w:after="0" w:line="240" w:lineRule="auto"/>
              <w:rPr>
                <w:lang w:val="en-US"/>
              </w:rPr>
            </w:pPr>
            <w:r w:rsidRPr="005E25BA">
              <w:rPr>
                <w:lang w:val="en-US"/>
              </w:rPr>
              <w:t>Since its inception, Sync Lab has made significant investments in R&amp;D activities. SYNC LAB SRL R&amp;D division has been involved in major research projects, funded by the European Commission or by national Ministries and/or local governments. SYNC LAB SRL has consolidated partnerships</w:t>
            </w:r>
            <w:r w:rsidR="001431CE" w:rsidRPr="005E25BA">
              <w:rPr>
                <w:lang w:val="en-US"/>
              </w:rPr>
              <w:t xml:space="preserve"> - </w:t>
            </w:r>
            <w:r w:rsidRPr="005E25BA">
              <w:rPr>
                <w:lang w:val="en-US"/>
              </w:rPr>
              <w:t>both at the bus</w:t>
            </w:r>
            <w:r w:rsidR="001431CE" w:rsidRPr="005E25BA">
              <w:rPr>
                <w:lang w:val="en-US"/>
              </w:rPr>
              <w:t xml:space="preserve">iness and at the research level - </w:t>
            </w:r>
            <w:r w:rsidRPr="005E25BA">
              <w:rPr>
                <w:lang w:val="en-US"/>
              </w:rPr>
              <w:t>with leading companies in technology fields that are central to the project, and in particular: cloud computing, complex event processing, IP video surveillance, GIS systems, and banking.</w:t>
            </w:r>
          </w:p>
        </w:tc>
      </w:tr>
      <w:tr w:rsidR="00FE5F3F" w:rsidRPr="005E25BA"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5E25BA" w:rsidRDefault="00FE5F3F" w:rsidP="0047607A">
            <w:pPr>
              <w:spacing w:after="0" w:line="240" w:lineRule="auto"/>
              <w:rPr>
                <w:b/>
                <w:color w:val="000000"/>
                <w:lang w:val="en-US"/>
              </w:rPr>
            </w:pPr>
            <w:r w:rsidRPr="005E25BA">
              <w:rPr>
                <w:b/>
                <w:color w:val="000000"/>
                <w:lang w:val="en-US"/>
              </w:rPr>
              <w:t>Main attributed tasks and role in the project</w:t>
            </w:r>
          </w:p>
        </w:tc>
      </w:tr>
      <w:tr w:rsidR="00FE5F3F" w:rsidRPr="005E25BA"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21B2B6CA" w:rsidR="00FE5F3F" w:rsidRPr="005E25BA" w:rsidRDefault="00FE5F3F" w:rsidP="001431CE">
            <w:pPr>
              <w:pStyle w:val="H2020Standard"/>
              <w:spacing w:after="0" w:line="240" w:lineRule="auto"/>
              <w:rPr>
                <w:lang w:val="en-US"/>
              </w:rPr>
            </w:pPr>
            <w:r w:rsidRPr="005E25BA">
              <w:rPr>
                <w:lang w:val="en-US"/>
              </w:rPr>
              <w:t>SYNC will be mainly involved in requirements analysis (WP1), and use case development (WP5).</w:t>
            </w:r>
          </w:p>
        </w:tc>
      </w:tr>
      <w:tr w:rsidR="00FE5F3F" w:rsidRPr="005E25BA"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5E25BA" w:rsidRDefault="00FE5F3F" w:rsidP="0047607A">
            <w:pPr>
              <w:spacing w:after="0" w:line="240" w:lineRule="auto"/>
              <w:rPr>
                <w:b/>
                <w:color w:val="000000"/>
                <w:lang w:val="en-US"/>
              </w:rPr>
            </w:pPr>
            <w:r w:rsidRPr="005E25BA">
              <w:rPr>
                <w:b/>
                <w:lang w:val="en-US"/>
              </w:rPr>
              <w:t>Relevant skills and previous experiences</w:t>
            </w:r>
          </w:p>
        </w:tc>
      </w:tr>
      <w:tr w:rsidR="00FE5F3F" w:rsidRPr="005E25BA"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5E25BA" w:rsidRDefault="00FE5F3F" w:rsidP="001431CE">
            <w:pPr>
              <w:pStyle w:val="H2020Standard"/>
              <w:spacing w:after="80" w:line="240" w:lineRule="auto"/>
              <w:rPr>
                <w:lang w:val="en-US"/>
              </w:rPr>
            </w:pPr>
            <w:r w:rsidRPr="005E25BA">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5E25BA" w:rsidRDefault="00FE5F3F" w:rsidP="001431CE">
            <w:pPr>
              <w:pStyle w:val="H2020Standard"/>
              <w:spacing w:after="0" w:line="240" w:lineRule="auto"/>
              <w:rPr>
                <w:b/>
                <w:lang w:val="en-US"/>
              </w:rPr>
            </w:pPr>
            <w:r w:rsidRPr="005E25BA">
              <w:rPr>
                <w:lang w:val="en-US"/>
              </w:rPr>
              <w:t>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Eurostars-Eureka funding program with the objective of developing a GPS navigator for cyclists.</w:t>
            </w:r>
          </w:p>
        </w:tc>
      </w:tr>
      <w:tr w:rsidR="00FE5F3F" w:rsidRPr="005E25BA"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5E25BA" w:rsidRDefault="00FE5F3F" w:rsidP="0047607A">
            <w:pPr>
              <w:spacing w:after="0" w:line="240" w:lineRule="auto"/>
              <w:rPr>
                <w:b/>
                <w:color w:val="000000"/>
                <w:lang w:val="en-US"/>
              </w:rPr>
            </w:pPr>
            <w:r w:rsidRPr="005E25BA">
              <w:rPr>
                <w:b/>
                <w:lang w:val="en-US"/>
              </w:rPr>
              <w:t>Profile description of key personnel carrying out the work</w:t>
            </w:r>
          </w:p>
        </w:tc>
      </w:tr>
      <w:tr w:rsidR="00FE5F3F" w:rsidRPr="005E25BA"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F915642" w14:textId="77777777" w:rsidR="00FE5F3F" w:rsidRPr="005E25BA" w:rsidRDefault="00FE5F3F" w:rsidP="001431CE">
            <w:pPr>
              <w:pStyle w:val="H2020Standard"/>
              <w:spacing w:after="80" w:line="240" w:lineRule="auto"/>
              <w:rPr>
                <w:lang w:val="en-US"/>
              </w:rPr>
            </w:pPr>
            <w:r w:rsidRPr="005E25BA">
              <w:rPr>
                <w:b/>
                <w:lang w:val="en-US"/>
              </w:rPr>
              <w:t>Salvatore Belfiore</w:t>
            </w:r>
            <w:r w:rsidRPr="005E25BA">
              <w:rPr>
                <w:lang w:val="en-US"/>
              </w:rPr>
              <w:t xml:space="preserve"> (m) founded Sync Lab in 2002 and is its CEO since then. Under his technical and management guide </w:t>
            </w:r>
            <w:bookmarkStart w:id="10" w:name="OLE_LINK213"/>
            <w:bookmarkStart w:id="11" w:name="OLE_LINK212"/>
            <w:r w:rsidRPr="005E25BA">
              <w:rPr>
                <w:lang w:val="en-US"/>
              </w:rPr>
              <w:t xml:space="preserve">Sync Lab </w:t>
            </w:r>
            <w:bookmarkEnd w:id="10"/>
            <w:bookmarkEnd w:id="11"/>
            <w:r w:rsidRPr="005E25BA">
              <w:rPr>
                <w:lang w:val="en-US"/>
              </w:rPr>
              <w:t>has grown up to its current four branches structure and has gained customers of primary importance in the Italian and international scene.</w:t>
            </w:r>
          </w:p>
          <w:p w14:paraId="65A70960" w14:textId="77777777" w:rsidR="00FE5F3F" w:rsidRPr="005E25BA" w:rsidRDefault="00FE5F3F" w:rsidP="001431CE">
            <w:pPr>
              <w:pStyle w:val="H2020Standard"/>
              <w:spacing w:after="80" w:line="240" w:lineRule="auto"/>
              <w:rPr>
                <w:lang w:val="en-US"/>
              </w:rPr>
            </w:pPr>
            <w:r w:rsidRPr="005E25BA">
              <w:rPr>
                <w:b/>
                <w:lang w:val="en-US"/>
              </w:rPr>
              <w:t>Ferdinando Campanile</w:t>
            </w:r>
            <w:r w:rsidRPr="005E25BA">
              <w:rPr>
                <w:lang w:val="en-US"/>
              </w:rPr>
              <w:t xml:space="preserve"> (m) is the general manager of Sync Lab and the leader of its R&amp;D department. He has leaded Sync Lab in national and European funded research project. He holds a master in Electronic Engineering and was co-author of scientific papers written in cooperation with researchers of the University of Naples “Parthenope”.</w:t>
            </w:r>
          </w:p>
          <w:p w14:paraId="541F9B30" w14:textId="77777777" w:rsidR="00FE5F3F" w:rsidRPr="005E25BA" w:rsidRDefault="00FE5F3F" w:rsidP="001431CE">
            <w:pPr>
              <w:pStyle w:val="H2020Standard"/>
              <w:spacing w:after="80" w:line="240" w:lineRule="auto"/>
              <w:rPr>
                <w:lang w:val="en-US"/>
              </w:rPr>
            </w:pPr>
            <w:r w:rsidRPr="005E25BA">
              <w:rPr>
                <w:b/>
                <w:lang w:val="en-US"/>
              </w:rPr>
              <w:t>Luca Lo Presti</w:t>
            </w:r>
            <w:r w:rsidRPr="005E25BA">
              <w:rPr>
                <w:lang w:val="en-US"/>
              </w:rPr>
              <w:t xml:space="preserve"> (m) is the technical leader of the “Applications” area team within Sync Lab. He is also leading the development and commercialization of Sync Lab’s </w:t>
            </w:r>
            <w:bookmarkStart w:id="12" w:name="OLE_LINK197"/>
            <w:bookmarkStart w:id="13" w:name="OLE_LINK196"/>
            <w:r w:rsidRPr="005E25BA">
              <w:rPr>
                <w:lang w:val="en-US"/>
              </w:rPr>
              <w:t xml:space="preserve">Streamlog </w:t>
            </w:r>
            <w:bookmarkEnd w:id="12"/>
            <w:bookmarkEnd w:id="13"/>
            <w:r w:rsidRPr="005E25BA">
              <w:rPr>
                <w:lang w:val="en-US"/>
              </w:rPr>
              <w:t>products.</w:t>
            </w:r>
          </w:p>
          <w:p w14:paraId="4A4BFB66" w14:textId="77777777" w:rsidR="00FE5F3F" w:rsidRPr="005E25BA" w:rsidRDefault="00FE5F3F" w:rsidP="001431CE">
            <w:pPr>
              <w:pStyle w:val="H2020Standard"/>
              <w:spacing w:after="0" w:line="240" w:lineRule="auto"/>
              <w:rPr>
                <w:lang w:val="en-US"/>
              </w:rPr>
            </w:pPr>
            <w:r w:rsidRPr="005E25BA">
              <w:rPr>
                <w:lang w:val="en-US"/>
              </w:rPr>
              <w:t xml:space="preserve">The company has strong relationships with Italian universities and research centres, particularly with the University of Naples “Parthenope”, with which it has a continued fruitful cooperation. </w:t>
            </w:r>
            <w:r w:rsidRPr="005E25BA">
              <w:rPr>
                <w:b/>
                <w:lang w:val="en-US"/>
              </w:rPr>
              <w:t>Prof. Luigi Romano</w:t>
            </w:r>
            <w:r w:rsidRPr="005E25BA">
              <w:rPr>
                <w:lang w:val="en-US"/>
              </w:rPr>
              <w:t xml:space="preserve"> (m), </w:t>
            </w:r>
            <w:r w:rsidRPr="005E25BA">
              <w:rPr>
                <w:b/>
                <w:lang w:val="en-US"/>
              </w:rPr>
              <w:t>Luigi Coppolino</w:t>
            </w:r>
            <w:r w:rsidRPr="005E25BA">
              <w:rPr>
                <w:lang w:val="en-US"/>
              </w:rPr>
              <w:t xml:space="preserve"> (m), and </w:t>
            </w:r>
            <w:r w:rsidRPr="005E25BA">
              <w:rPr>
                <w:b/>
                <w:lang w:val="en-US"/>
              </w:rPr>
              <w:t>Salvatore D’Antonio</w:t>
            </w:r>
            <w:r w:rsidRPr="005E25BA">
              <w:rPr>
                <w:lang w:val="en-US"/>
              </w:rPr>
              <w:t xml:space="preserve"> (m) from the University of Naples “Parthenope”, who have a valuable experience in FP7 and H2020 EC funded projects on topics that are key to this project, will support Sync Lab as consultants.</w:t>
            </w:r>
          </w:p>
          <w:p w14:paraId="5FF84C59" w14:textId="77777777" w:rsidR="001431CE" w:rsidRPr="005E25BA" w:rsidRDefault="001431CE" w:rsidP="001431CE">
            <w:pPr>
              <w:pStyle w:val="H2020Standard"/>
              <w:spacing w:after="0" w:line="240" w:lineRule="auto"/>
              <w:rPr>
                <w:lang w:val="en-US"/>
              </w:rPr>
            </w:pPr>
          </w:p>
          <w:p w14:paraId="5395D96F" w14:textId="77777777" w:rsidR="001431CE" w:rsidRPr="005E25BA" w:rsidRDefault="001431CE" w:rsidP="001431CE">
            <w:pPr>
              <w:pStyle w:val="H2020Standard"/>
              <w:spacing w:after="0" w:line="240" w:lineRule="auto"/>
              <w:rPr>
                <w:lang w:val="en-US"/>
              </w:rPr>
            </w:pPr>
          </w:p>
          <w:p w14:paraId="36C34EC4" w14:textId="77777777" w:rsidR="001431CE" w:rsidRPr="005E25BA" w:rsidRDefault="001431CE" w:rsidP="001431CE">
            <w:pPr>
              <w:pStyle w:val="H2020Standard"/>
              <w:spacing w:after="0" w:line="240" w:lineRule="auto"/>
              <w:rPr>
                <w:lang w:val="en-US"/>
              </w:rPr>
            </w:pPr>
          </w:p>
          <w:p w14:paraId="7DB18E11" w14:textId="77777777" w:rsidR="001431CE" w:rsidRPr="005E25BA" w:rsidRDefault="001431CE" w:rsidP="001431CE">
            <w:pPr>
              <w:pStyle w:val="H2020Standard"/>
              <w:spacing w:after="0" w:line="240" w:lineRule="auto"/>
              <w:rPr>
                <w:lang w:val="en-US"/>
              </w:rPr>
            </w:pPr>
          </w:p>
          <w:p w14:paraId="1FA40C5A" w14:textId="77777777" w:rsidR="001431CE" w:rsidRPr="005E25BA" w:rsidRDefault="001431CE" w:rsidP="001431CE">
            <w:pPr>
              <w:pStyle w:val="H2020Standard"/>
              <w:spacing w:after="0" w:line="240" w:lineRule="auto"/>
              <w:rPr>
                <w:lang w:val="en-US"/>
              </w:rPr>
            </w:pPr>
          </w:p>
          <w:p w14:paraId="5B916F2E" w14:textId="77777777" w:rsidR="001431CE" w:rsidRPr="005E25BA" w:rsidRDefault="001431CE" w:rsidP="001431CE">
            <w:pPr>
              <w:pStyle w:val="H2020Standard"/>
              <w:spacing w:after="0" w:line="240" w:lineRule="auto"/>
              <w:rPr>
                <w:color w:val="000000"/>
                <w:lang w:val="en-US"/>
              </w:rPr>
            </w:pPr>
          </w:p>
        </w:tc>
      </w:tr>
      <w:tr w:rsidR="00FE5F3F" w:rsidRPr="005E25BA"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5E25BA" w:rsidRDefault="00FE5F3F" w:rsidP="0047607A">
            <w:pPr>
              <w:spacing w:after="0" w:line="240" w:lineRule="auto"/>
              <w:rPr>
                <w:b/>
                <w:color w:val="000000"/>
                <w:lang w:val="en-US"/>
              </w:rPr>
            </w:pPr>
            <w:r w:rsidRPr="005E25BA">
              <w:rPr>
                <w:b/>
                <w:lang w:val="en-US"/>
              </w:rPr>
              <w:lastRenderedPageBreak/>
              <w:t>Publications, other research or innovation products, or patents related to the project</w:t>
            </w:r>
          </w:p>
        </w:tc>
      </w:tr>
      <w:tr w:rsidR="00FE5F3F" w:rsidRPr="005E25BA"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5E25BA" w:rsidRDefault="00FE5F3F" w:rsidP="0047607A">
            <w:pPr>
              <w:spacing w:after="0" w:line="240" w:lineRule="auto"/>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2878"/>
              <w:gridCol w:w="5988"/>
            </w:tblGrid>
            <w:tr w:rsidR="00FE5F3F" w:rsidRPr="005E25BA" w14:paraId="769FB878" w14:textId="77777777" w:rsidTr="001431CE">
              <w:trPr>
                <w:cantSplit/>
                <w:trHeight w:val="340"/>
              </w:trPr>
              <w:tc>
                <w:tcPr>
                  <w:tcW w:w="0" w:type="auto"/>
                  <w:tcBorders>
                    <w:top w:val="single" w:sz="4" w:space="0" w:color="auto"/>
                  </w:tcBorders>
                  <w:shd w:val="clear" w:color="auto" w:fill="EEF3F8"/>
                  <w:vAlign w:val="center"/>
                  <w:hideMark/>
                </w:tcPr>
                <w:p w14:paraId="2BF07782" w14:textId="77777777" w:rsidR="00FE5F3F" w:rsidRPr="005E25BA" w:rsidRDefault="00FE5F3F" w:rsidP="0047607A">
                  <w:pPr>
                    <w:keepNext/>
                    <w:spacing w:after="0" w:line="240" w:lineRule="auto"/>
                    <w:rPr>
                      <w:b/>
                      <w:lang w:val="en-US"/>
                    </w:rPr>
                  </w:pPr>
                  <w:r w:rsidRPr="005E25BA">
                    <w:rPr>
                      <w:b/>
                      <w:lang w:val="en-US"/>
                    </w:rPr>
                    <w:t>No.</w:t>
                  </w:r>
                </w:p>
              </w:tc>
              <w:tc>
                <w:tcPr>
                  <w:tcW w:w="2878" w:type="dxa"/>
                  <w:tcBorders>
                    <w:top w:val="single" w:sz="4" w:space="0" w:color="auto"/>
                  </w:tcBorders>
                  <w:shd w:val="clear" w:color="auto" w:fill="EEF3F8"/>
                  <w:vAlign w:val="center"/>
                  <w:hideMark/>
                </w:tcPr>
                <w:p w14:paraId="4325752B" w14:textId="5DEC7546" w:rsidR="00FE5F3F" w:rsidRPr="005E25BA" w:rsidRDefault="00FE5F3F" w:rsidP="001431CE">
                  <w:pPr>
                    <w:keepNext/>
                    <w:spacing w:after="0" w:line="240" w:lineRule="auto"/>
                    <w:rPr>
                      <w:b/>
                      <w:lang w:val="en-US"/>
                    </w:rPr>
                  </w:pPr>
                  <w:r w:rsidRPr="005E25BA">
                    <w:rPr>
                      <w:b/>
                      <w:lang w:val="en-US"/>
                    </w:rPr>
                    <w:t>Name of the Product/Service</w:t>
                  </w:r>
                </w:p>
              </w:tc>
              <w:tc>
                <w:tcPr>
                  <w:tcW w:w="5988" w:type="dxa"/>
                  <w:tcBorders>
                    <w:top w:val="single" w:sz="4" w:space="0" w:color="auto"/>
                  </w:tcBorders>
                  <w:shd w:val="clear" w:color="auto" w:fill="EEF3F8"/>
                  <w:vAlign w:val="center"/>
                  <w:hideMark/>
                </w:tcPr>
                <w:p w14:paraId="0F0CBC47" w14:textId="77777777" w:rsidR="00FE5F3F" w:rsidRPr="005E25BA" w:rsidRDefault="00FE5F3F" w:rsidP="0047607A">
                  <w:pPr>
                    <w:keepNext/>
                    <w:spacing w:after="0" w:line="240" w:lineRule="auto"/>
                    <w:rPr>
                      <w:b/>
                      <w:lang w:val="en-US"/>
                    </w:rPr>
                  </w:pPr>
                  <w:r w:rsidRPr="005E25BA">
                    <w:rPr>
                      <w:b/>
                      <w:lang w:val="en-US"/>
                    </w:rPr>
                    <w:t>Relevance for the Project</w:t>
                  </w:r>
                </w:p>
              </w:tc>
            </w:tr>
            <w:tr w:rsidR="00FE5F3F" w:rsidRPr="005E25BA" w14:paraId="788DDC58" w14:textId="77777777" w:rsidTr="001431CE">
              <w:trPr>
                <w:cantSplit/>
                <w:trHeight w:val="340"/>
              </w:trPr>
              <w:tc>
                <w:tcPr>
                  <w:tcW w:w="0" w:type="auto"/>
                  <w:hideMark/>
                </w:tcPr>
                <w:p w14:paraId="6874DB23" w14:textId="77777777" w:rsidR="00FE5F3F" w:rsidRPr="005E25BA" w:rsidRDefault="00FE5F3F" w:rsidP="001431CE">
                  <w:pPr>
                    <w:keepNext/>
                    <w:spacing w:after="0" w:line="240" w:lineRule="auto"/>
                    <w:jc w:val="center"/>
                    <w:rPr>
                      <w:rFonts w:ascii="Times New Roman" w:hAnsi="Times New Roman" w:cs="Times New Roman"/>
                      <w:lang w:val="en-US"/>
                    </w:rPr>
                  </w:pPr>
                  <w:r w:rsidRPr="005E25BA">
                    <w:rPr>
                      <w:rFonts w:ascii="Times New Roman" w:hAnsi="Times New Roman" w:cs="Times New Roman"/>
                      <w:lang w:val="en-US"/>
                    </w:rPr>
                    <w:t>1</w:t>
                  </w:r>
                </w:p>
              </w:tc>
              <w:tc>
                <w:tcPr>
                  <w:tcW w:w="2878" w:type="dxa"/>
                </w:tcPr>
                <w:p w14:paraId="6607BE2E" w14:textId="77777777" w:rsidR="00FE5F3F" w:rsidRPr="005E25BA" w:rsidRDefault="00FE5F3F" w:rsidP="001431CE">
                  <w:pPr>
                    <w:keepNext/>
                    <w:spacing w:after="0" w:line="240" w:lineRule="auto"/>
                    <w:rPr>
                      <w:rFonts w:ascii="Times New Roman" w:hAnsi="Times New Roman" w:cs="Times New Roman"/>
                      <w:lang w:val="en-US"/>
                    </w:rPr>
                  </w:pPr>
                  <w:r w:rsidRPr="005E25BA">
                    <w:rPr>
                      <w:rFonts w:ascii="Times New Roman" w:hAnsi="Times New Roman" w:cs="Times New Roman"/>
                      <w:b/>
                      <w:lang w:val="en-US"/>
                    </w:rPr>
                    <w:t>Streamlog</w:t>
                  </w:r>
                  <w:r w:rsidRPr="005E25BA">
                    <w:rPr>
                      <w:rFonts w:ascii="Times New Roman" w:hAnsi="Times New Roman" w:cs="Times New Roman"/>
                      <w:lang w:val="en-US"/>
                    </w:rPr>
                    <w:t xml:space="preserve">  </w:t>
                  </w:r>
                </w:p>
              </w:tc>
              <w:tc>
                <w:tcPr>
                  <w:tcW w:w="5988" w:type="dxa"/>
                </w:tcPr>
                <w:p w14:paraId="5217DD33" w14:textId="5C360374" w:rsidR="00FE5F3F" w:rsidRPr="005E25BA" w:rsidRDefault="00FE5F3F" w:rsidP="001431CE">
                  <w:pPr>
                    <w:pStyle w:val="H2020SLT"/>
                    <w:spacing w:after="0" w:line="240" w:lineRule="auto"/>
                    <w:rPr>
                      <w:rFonts w:cs="Times New Roman"/>
                      <w:lang w:val="en-US"/>
                    </w:rPr>
                  </w:pPr>
                  <w:r w:rsidRPr="005E25BA">
                    <w:rPr>
                      <w:rFonts w:cs="Times New Roman"/>
                      <w:lang w:val="en-US"/>
                    </w:rPr>
                    <w:t>A user-friendly access control system based on an open source framework. It exploits streaming techno</w:t>
                  </w:r>
                  <w:r w:rsidR="00A614BA" w:rsidRPr="005E25BA">
                    <w:rPr>
                      <w:rFonts w:cs="Times New Roman"/>
                      <w:lang w:val="en-US"/>
                    </w:rPr>
                    <w:t xml:space="preserve">logy developed by Sync Lab R&amp;D </w:t>
                  </w:r>
                  <w:r w:rsidRPr="005E25BA">
                    <w:rPr>
                      <w:rFonts w:cs="Times New Roman"/>
                      <w:lang w:val="en-US"/>
                    </w:rPr>
                    <w:t>(www.synclab.it/prodotti/streamlog/).</w:t>
                  </w:r>
                </w:p>
              </w:tc>
            </w:tr>
            <w:tr w:rsidR="00FE5F3F" w:rsidRPr="005E25BA" w14:paraId="1E86276A" w14:textId="77777777" w:rsidTr="001431CE">
              <w:trPr>
                <w:cantSplit/>
                <w:trHeight w:val="340"/>
              </w:trPr>
              <w:tc>
                <w:tcPr>
                  <w:tcW w:w="0" w:type="auto"/>
                  <w:hideMark/>
                </w:tcPr>
                <w:p w14:paraId="754B0E9B" w14:textId="77777777" w:rsidR="00FE5F3F" w:rsidRPr="005E25BA" w:rsidRDefault="00FE5F3F" w:rsidP="001431CE">
                  <w:pPr>
                    <w:keepNext/>
                    <w:spacing w:after="0" w:line="240" w:lineRule="auto"/>
                    <w:jc w:val="center"/>
                    <w:rPr>
                      <w:rFonts w:ascii="Times New Roman" w:hAnsi="Times New Roman" w:cs="Times New Roman"/>
                      <w:lang w:val="en-US"/>
                    </w:rPr>
                  </w:pPr>
                  <w:r w:rsidRPr="005E25BA">
                    <w:rPr>
                      <w:rFonts w:ascii="Times New Roman" w:hAnsi="Times New Roman" w:cs="Times New Roman"/>
                      <w:lang w:val="en-US"/>
                    </w:rPr>
                    <w:t>2</w:t>
                  </w:r>
                </w:p>
              </w:tc>
              <w:tc>
                <w:tcPr>
                  <w:tcW w:w="2878" w:type="dxa"/>
                </w:tcPr>
                <w:p w14:paraId="5B7C4D36" w14:textId="77777777" w:rsidR="00FE5F3F" w:rsidRPr="005E25BA" w:rsidRDefault="00FE5F3F" w:rsidP="001431CE">
                  <w:pPr>
                    <w:keepNext/>
                    <w:spacing w:after="0" w:line="240" w:lineRule="auto"/>
                    <w:rPr>
                      <w:rFonts w:ascii="Times New Roman" w:hAnsi="Times New Roman" w:cs="Times New Roman"/>
                      <w:lang w:val="en-US"/>
                    </w:rPr>
                  </w:pPr>
                  <w:r w:rsidRPr="005E25BA">
                    <w:rPr>
                      <w:rFonts w:ascii="Times New Roman" w:hAnsi="Times New Roman" w:cs="Times New Roman"/>
                      <w:b/>
                      <w:lang w:val="en-US"/>
                    </w:rPr>
                    <w:t>WAVE</w:t>
                  </w:r>
                </w:p>
              </w:tc>
              <w:tc>
                <w:tcPr>
                  <w:tcW w:w="5988" w:type="dxa"/>
                </w:tcPr>
                <w:p w14:paraId="4AAB0907" w14:textId="1F2F517C" w:rsidR="00FE5F3F" w:rsidRPr="005E25BA" w:rsidRDefault="00FE5F3F" w:rsidP="001431CE">
                  <w:pPr>
                    <w:pStyle w:val="H2020SLT"/>
                    <w:spacing w:after="0" w:line="240" w:lineRule="auto"/>
                    <w:rPr>
                      <w:rFonts w:cs="Times New Roman"/>
                      <w:lang w:val="en-US"/>
                    </w:rPr>
                  </w:pPr>
                  <w:r w:rsidRPr="005E25BA">
                    <w:rPr>
                      <w:rFonts w:cs="Times New Roman"/>
                      <w:lang w:val="en-US"/>
                    </w:rPr>
                    <w:t>WAVE (wide area video</w:t>
                  </w:r>
                  <w:r w:rsidR="00A614BA" w:rsidRPr="005E25BA">
                    <w:rPr>
                      <w:rFonts w:cs="Times New Roman"/>
                      <w:lang w:val="en-US"/>
                    </w:rPr>
                    <w:t xml:space="preserve"> </w:t>
                  </w:r>
                  <w:r w:rsidRPr="005E25BA">
                    <w:rPr>
                      <w:rFonts w:cs="Times New Roman"/>
                      <w:lang w:val="en-US"/>
                    </w:rPr>
                    <w:t>surveillance environment) is based on the milestone video surveillance suite (DVMS). Its main innovative aspect is the strict integration with GIS (geographical information system) that enables management of video surveillance systems for very large areas (</w:t>
                  </w:r>
                  <w:hyperlink r:id="rId9" w:history="1">
                    <w:r w:rsidRPr="005E25BA">
                      <w:rPr>
                        <w:rStyle w:val="Link"/>
                        <w:lang w:val="en-US"/>
                      </w:rPr>
                      <w:t>www.synclab.it/prodotti/wave/</w:t>
                    </w:r>
                  </w:hyperlink>
                  <w:r w:rsidRPr="005E25BA">
                    <w:rPr>
                      <w:rFonts w:cs="Times New Roman"/>
                      <w:lang w:val="en-US"/>
                    </w:rPr>
                    <w:t>).</w:t>
                  </w:r>
                </w:p>
              </w:tc>
            </w:tr>
            <w:tr w:rsidR="00FE5F3F" w:rsidRPr="005E25BA" w14:paraId="75459125" w14:textId="77777777" w:rsidTr="001431CE">
              <w:trPr>
                <w:cantSplit/>
                <w:trHeight w:val="340"/>
              </w:trPr>
              <w:tc>
                <w:tcPr>
                  <w:tcW w:w="0" w:type="auto"/>
                  <w:hideMark/>
                </w:tcPr>
                <w:p w14:paraId="1BA2C721" w14:textId="77777777" w:rsidR="00FE5F3F" w:rsidRPr="005E25BA" w:rsidRDefault="00FE5F3F" w:rsidP="001431CE">
                  <w:pPr>
                    <w:keepNext/>
                    <w:spacing w:after="0" w:line="240" w:lineRule="auto"/>
                    <w:jc w:val="center"/>
                    <w:rPr>
                      <w:rFonts w:ascii="Times New Roman" w:hAnsi="Times New Roman" w:cs="Times New Roman"/>
                      <w:lang w:val="en-US"/>
                    </w:rPr>
                  </w:pPr>
                  <w:r w:rsidRPr="005E25BA">
                    <w:rPr>
                      <w:rFonts w:ascii="Times New Roman" w:hAnsi="Times New Roman" w:cs="Times New Roman"/>
                      <w:lang w:val="en-US"/>
                    </w:rPr>
                    <w:t>3</w:t>
                  </w:r>
                </w:p>
              </w:tc>
              <w:tc>
                <w:tcPr>
                  <w:tcW w:w="2878" w:type="dxa"/>
                </w:tcPr>
                <w:p w14:paraId="4EBE0A9D" w14:textId="77777777" w:rsidR="00FE5F3F" w:rsidRPr="005E25BA" w:rsidRDefault="00FE5F3F" w:rsidP="001431CE">
                  <w:pPr>
                    <w:keepNext/>
                    <w:spacing w:after="0" w:line="240" w:lineRule="auto"/>
                    <w:rPr>
                      <w:rFonts w:ascii="Times New Roman" w:hAnsi="Times New Roman" w:cs="Times New Roman"/>
                      <w:lang w:val="en-US"/>
                    </w:rPr>
                  </w:pPr>
                  <w:r w:rsidRPr="005E25BA">
                    <w:rPr>
                      <w:rFonts w:ascii="Times New Roman" w:hAnsi="Times New Roman" w:cs="Times New Roman"/>
                      <w:b/>
                      <w:lang w:val="en-US"/>
                    </w:rPr>
                    <w:t>StreamCrusher</w:t>
                  </w:r>
                  <w:r w:rsidRPr="005E25BA">
                    <w:rPr>
                      <w:rFonts w:ascii="Times New Roman" w:hAnsi="Times New Roman" w:cs="Times New Roman"/>
                      <w:lang w:val="en-US"/>
                    </w:rPr>
                    <w:t xml:space="preserve"> </w:t>
                  </w:r>
                </w:p>
              </w:tc>
              <w:tc>
                <w:tcPr>
                  <w:tcW w:w="5988" w:type="dxa"/>
                </w:tcPr>
                <w:p w14:paraId="6BAA09C4" w14:textId="77777777" w:rsidR="00FE5F3F" w:rsidRPr="005E25BA" w:rsidRDefault="00FE5F3F" w:rsidP="001431CE">
                  <w:pPr>
                    <w:pStyle w:val="H2020SLT"/>
                    <w:spacing w:after="0" w:line="240" w:lineRule="auto"/>
                    <w:rPr>
                      <w:rFonts w:cs="Times New Roman"/>
                      <w:lang w:val="en-US"/>
                    </w:rPr>
                  </w:pPr>
                  <w:r w:rsidRPr="005E25BA">
                    <w:rPr>
                      <w:rFonts w:cs="Times New Roman"/>
                      <w:lang w:val="en-US"/>
                    </w:rPr>
                    <w:t>StreamCrusher is a solution able to collect, index, and interpret the huge amount of data that an organization data centre generates daily: custom application logs, system logs, alerts, clickstream data, data feeds, configuration data, changes to the file system, message queues, and many others. From these heterogeneous data, StreamCrusher extrapolates information that the IT management can use to discover new business opportunities (</w:t>
                  </w:r>
                  <w:hyperlink r:id="rId10" w:history="1">
                    <w:r w:rsidRPr="005E25BA">
                      <w:rPr>
                        <w:rStyle w:val="Link"/>
                        <w:lang w:val="en-US"/>
                      </w:rPr>
                      <w:t>www.synclab.it/prodotti/streamcrusher/</w:t>
                    </w:r>
                  </w:hyperlink>
                  <w:r w:rsidRPr="005E25BA">
                    <w:rPr>
                      <w:rFonts w:cs="Times New Roman"/>
                      <w:lang w:val="en-US"/>
                    </w:rPr>
                    <w:t>).</w:t>
                  </w:r>
                </w:p>
              </w:tc>
            </w:tr>
          </w:tbl>
          <w:p w14:paraId="08DE3CD8" w14:textId="77777777" w:rsidR="00FE5F3F" w:rsidRPr="005E25BA" w:rsidRDefault="00FE5F3F" w:rsidP="0047607A">
            <w:pPr>
              <w:spacing w:after="0" w:line="240" w:lineRule="auto"/>
              <w:rPr>
                <w:sz w:val="8"/>
                <w:lang w:val="en-US"/>
              </w:rPr>
            </w:pPr>
          </w:p>
          <w:p w14:paraId="50D0DC72" w14:textId="77777777" w:rsidR="00FE5F3F" w:rsidRPr="005E25BA" w:rsidRDefault="00FE5F3F" w:rsidP="0047607A">
            <w:pPr>
              <w:spacing w:after="0" w:line="240" w:lineRule="auto"/>
              <w:rPr>
                <w:sz w:val="8"/>
                <w:lang w:val="en-US"/>
              </w:rPr>
            </w:pPr>
          </w:p>
        </w:tc>
      </w:tr>
      <w:tr w:rsidR="00FE5F3F" w:rsidRPr="005E25BA"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5E25BA" w:rsidRDefault="00FE5F3F" w:rsidP="0047607A">
            <w:pPr>
              <w:spacing w:after="0" w:line="240" w:lineRule="auto"/>
              <w:rPr>
                <w:b/>
                <w:color w:val="000000"/>
                <w:lang w:val="en-US"/>
              </w:rPr>
            </w:pPr>
            <w:r w:rsidRPr="005E25BA">
              <w:rPr>
                <w:b/>
                <w:lang w:val="en-US"/>
              </w:rPr>
              <w:t>Relevant previous projects/activities</w:t>
            </w:r>
          </w:p>
        </w:tc>
      </w:tr>
      <w:tr w:rsidR="00FE5F3F" w:rsidRPr="005E25BA"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6D7EBC3" w14:textId="77777777" w:rsidR="00FE5F3F" w:rsidRPr="005E25BA" w:rsidRDefault="00FE5F3F" w:rsidP="0047607A">
            <w:pPr>
              <w:spacing w:after="0" w:line="240" w:lineRule="auto"/>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5142"/>
              <w:gridCol w:w="3724"/>
            </w:tblGrid>
            <w:tr w:rsidR="00FE5F3F" w:rsidRPr="005E25BA" w14:paraId="54F0D892" w14:textId="77777777" w:rsidTr="00E479E3">
              <w:trPr>
                <w:cantSplit/>
                <w:trHeight w:val="340"/>
              </w:trPr>
              <w:tc>
                <w:tcPr>
                  <w:tcW w:w="0" w:type="auto"/>
                  <w:tcBorders>
                    <w:top w:val="single" w:sz="4" w:space="0" w:color="auto"/>
                  </w:tcBorders>
                  <w:shd w:val="clear" w:color="auto" w:fill="EEF3F8"/>
                  <w:vAlign w:val="center"/>
                  <w:hideMark/>
                </w:tcPr>
                <w:p w14:paraId="247C55CF" w14:textId="77777777" w:rsidR="00FE5F3F" w:rsidRPr="005E25BA" w:rsidRDefault="00FE5F3F" w:rsidP="0047607A">
                  <w:pPr>
                    <w:keepNext/>
                    <w:spacing w:after="0" w:line="240" w:lineRule="auto"/>
                    <w:rPr>
                      <w:b/>
                      <w:lang w:val="en-US"/>
                    </w:rPr>
                  </w:pPr>
                  <w:r w:rsidRPr="005E25BA">
                    <w:rPr>
                      <w:b/>
                      <w:lang w:val="en-US"/>
                    </w:rPr>
                    <w:t>No.</w:t>
                  </w:r>
                </w:p>
              </w:tc>
              <w:tc>
                <w:tcPr>
                  <w:tcW w:w="5142" w:type="dxa"/>
                  <w:tcBorders>
                    <w:top w:val="single" w:sz="4" w:space="0" w:color="auto"/>
                  </w:tcBorders>
                  <w:shd w:val="clear" w:color="auto" w:fill="EEF3F8"/>
                  <w:vAlign w:val="center"/>
                  <w:hideMark/>
                </w:tcPr>
                <w:p w14:paraId="50F4A1FE" w14:textId="77777777" w:rsidR="00FE5F3F" w:rsidRPr="005E25BA" w:rsidRDefault="00FE5F3F" w:rsidP="0047607A">
                  <w:pPr>
                    <w:keepNext/>
                    <w:spacing w:after="0" w:line="240" w:lineRule="auto"/>
                    <w:rPr>
                      <w:b/>
                      <w:lang w:val="en-US"/>
                    </w:rPr>
                  </w:pPr>
                  <w:r w:rsidRPr="005E25BA">
                    <w:rPr>
                      <w:rFonts w:ascii="Calibri" w:hAnsi="Calibri"/>
                      <w:b/>
                      <w:lang w:val="en-US"/>
                    </w:rPr>
                    <w:t>Acronym, Name and Short Description of the previous Project and Activity</w:t>
                  </w:r>
                </w:p>
              </w:tc>
              <w:tc>
                <w:tcPr>
                  <w:tcW w:w="3724" w:type="dxa"/>
                  <w:tcBorders>
                    <w:top w:val="single" w:sz="4" w:space="0" w:color="auto"/>
                  </w:tcBorders>
                  <w:shd w:val="clear" w:color="auto" w:fill="EEF3F8"/>
                  <w:vAlign w:val="center"/>
                  <w:hideMark/>
                </w:tcPr>
                <w:p w14:paraId="53F7652A" w14:textId="77777777" w:rsidR="00FE5F3F" w:rsidRPr="005E25BA" w:rsidRDefault="00FE5F3F" w:rsidP="0047607A">
                  <w:pPr>
                    <w:keepNext/>
                    <w:spacing w:after="0" w:line="240" w:lineRule="auto"/>
                    <w:rPr>
                      <w:b/>
                      <w:lang w:val="en-US"/>
                    </w:rPr>
                  </w:pPr>
                  <w:r w:rsidRPr="005E25BA">
                    <w:rPr>
                      <w:b/>
                      <w:lang w:val="en-US"/>
                    </w:rPr>
                    <w:t>Relevance for the Project</w:t>
                  </w:r>
                </w:p>
              </w:tc>
            </w:tr>
            <w:tr w:rsidR="00FE5F3F" w:rsidRPr="005E25BA" w14:paraId="10B92611" w14:textId="77777777" w:rsidTr="00E479E3">
              <w:trPr>
                <w:cantSplit/>
                <w:trHeight w:val="340"/>
              </w:trPr>
              <w:tc>
                <w:tcPr>
                  <w:tcW w:w="0" w:type="auto"/>
                  <w:hideMark/>
                </w:tcPr>
                <w:p w14:paraId="36B12A7D" w14:textId="77777777" w:rsidR="00FE5F3F" w:rsidRPr="005E25BA" w:rsidRDefault="00FE5F3F" w:rsidP="001431CE">
                  <w:pPr>
                    <w:keepNext/>
                    <w:spacing w:after="0" w:line="240" w:lineRule="auto"/>
                    <w:jc w:val="both"/>
                    <w:rPr>
                      <w:rFonts w:ascii="Times New Roman" w:hAnsi="Times New Roman" w:cs="Times New Roman"/>
                      <w:lang w:val="en-US"/>
                    </w:rPr>
                  </w:pPr>
                  <w:r w:rsidRPr="005E25BA">
                    <w:rPr>
                      <w:rFonts w:ascii="Times New Roman" w:hAnsi="Times New Roman" w:cs="Times New Roman"/>
                      <w:lang w:val="en-US"/>
                    </w:rPr>
                    <w:t>1</w:t>
                  </w:r>
                </w:p>
              </w:tc>
              <w:tc>
                <w:tcPr>
                  <w:tcW w:w="5142" w:type="dxa"/>
                </w:tcPr>
                <w:p w14:paraId="45B7C1E5" w14:textId="77777777" w:rsidR="00FE5F3F" w:rsidRPr="005E25BA" w:rsidRDefault="00FE5F3F" w:rsidP="001431CE">
                  <w:pPr>
                    <w:pStyle w:val="H2020SLT"/>
                    <w:spacing w:after="0" w:line="240" w:lineRule="auto"/>
                    <w:jc w:val="both"/>
                    <w:rPr>
                      <w:rFonts w:cs="Times New Roman"/>
                      <w:lang w:val="en-US"/>
                    </w:rPr>
                  </w:pPr>
                  <w:r w:rsidRPr="005E25BA">
                    <w:rPr>
                      <w:rFonts w:cs="Times New Roman"/>
                      <w:lang w:val="en-US"/>
                    </w:rPr>
                    <w:t>LeanBigData (</w:t>
                  </w:r>
                  <w:r w:rsidRPr="005E25BA">
                    <w:rPr>
                      <w:rFonts w:cs="Times New Roman"/>
                      <w:i/>
                      <w:lang w:val="en-US"/>
                    </w:rPr>
                    <w:t>Ultra-Scalable and Ultra-Efficient Integrated and Visual Big Data Analytics</w:t>
                  </w:r>
                  <w:r w:rsidRPr="005E25BA">
                    <w:rPr>
                      <w:rFonts w:cs="Times New Roman"/>
                      <w:lang w:val="en-US"/>
                    </w:rPr>
                    <w:t xml:space="preserve">), </w:t>
                  </w:r>
                  <w:hyperlink r:id="rId11" w:history="1">
                    <w:r w:rsidRPr="005E25BA">
                      <w:rPr>
                        <w:rStyle w:val="Link"/>
                        <w:lang w:val="en-US"/>
                      </w:rPr>
                      <w:t>http://leanbigdata.eu/</w:t>
                    </w:r>
                  </w:hyperlink>
                  <w:r w:rsidRPr="005E25BA">
                    <w:rPr>
                      <w:rFonts w:cs="Times New Roman"/>
                      <w:lang w:val="en-US"/>
                    </w:rPr>
                    <w:t>, 2014-2017, funded by European Commission (FP7 ICT).</w:t>
                  </w:r>
                </w:p>
                <w:p w14:paraId="359648C8" w14:textId="77777777" w:rsidR="00FE5F3F" w:rsidRPr="005E25BA" w:rsidRDefault="00FE5F3F" w:rsidP="001431CE">
                  <w:pPr>
                    <w:keepNext/>
                    <w:spacing w:after="0" w:line="240" w:lineRule="auto"/>
                    <w:jc w:val="both"/>
                    <w:rPr>
                      <w:rFonts w:ascii="Times New Roman" w:hAnsi="Times New Roman" w:cs="Times New Roman"/>
                      <w:lang w:val="en-US"/>
                    </w:rPr>
                  </w:pPr>
                </w:p>
              </w:tc>
              <w:tc>
                <w:tcPr>
                  <w:tcW w:w="3724" w:type="dxa"/>
                </w:tcPr>
                <w:p w14:paraId="6172EB48" w14:textId="77777777" w:rsidR="00FE5F3F" w:rsidRPr="005E25BA" w:rsidRDefault="00FE5F3F" w:rsidP="001431CE">
                  <w:pPr>
                    <w:pStyle w:val="H2020SLT"/>
                    <w:spacing w:after="0" w:line="240" w:lineRule="auto"/>
                    <w:jc w:val="both"/>
                    <w:rPr>
                      <w:rFonts w:cs="Times New Roman"/>
                      <w:lang w:val="en-US"/>
                    </w:rPr>
                  </w:pPr>
                  <w:r w:rsidRPr="005E25BA">
                    <w:rPr>
                      <w:rFonts w:cs="Times New Roman"/>
                      <w:lang w:val="en-US"/>
                    </w:rPr>
                    <w:t>LeanBigData targets at building an ultra-scalable and ultra-efficient integrated big data platform addressing important open issues in big data analytics.</w:t>
                  </w:r>
                </w:p>
              </w:tc>
            </w:tr>
          </w:tbl>
          <w:p w14:paraId="5E48BEEB" w14:textId="77777777" w:rsidR="00FE5F3F" w:rsidRPr="005E25BA" w:rsidRDefault="00FE5F3F" w:rsidP="0047607A">
            <w:pPr>
              <w:spacing w:after="0" w:line="240" w:lineRule="auto"/>
              <w:rPr>
                <w:sz w:val="8"/>
                <w:lang w:val="en-US"/>
              </w:rPr>
            </w:pPr>
          </w:p>
        </w:tc>
      </w:tr>
      <w:tr w:rsidR="00FE5F3F" w:rsidRPr="005E25BA"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5E25BA" w:rsidRDefault="00FE5F3F" w:rsidP="0047607A">
            <w:pPr>
              <w:spacing w:after="0" w:line="240" w:lineRule="auto"/>
              <w:rPr>
                <w:b/>
                <w:lang w:val="en-US"/>
              </w:rPr>
            </w:pPr>
            <w:r w:rsidRPr="005E25BA">
              <w:rPr>
                <w:b/>
                <w:lang w:val="en-US"/>
              </w:rPr>
              <w:t>Relevant available infrastructure / equipment description</w:t>
            </w:r>
          </w:p>
        </w:tc>
      </w:tr>
      <w:tr w:rsidR="00FE5F3F" w:rsidRPr="005E25BA"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5E25BA" w:rsidRDefault="00FE5F3F" w:rsidP="001431CE">
            <w:pPr>
              <w:pStyle w:val="H2020Standard"/>
              <w:spacing w:after="0" w:line="240" w:lineRule="auto"/>
              <w:rPr>
                <w:lang w:val="en-US"/>
              </w:rPr>
            </w:pPr>
            <w:r w:rsidRPr="005E25BA">
              <w:rPr>
                <w:lang w:val="en-US"/>
              </w:rPr>
              <w:t>The lab facilities of the four sites will be made available to project partners for development, demonstration, and validation activities.</w:t>
            </w:r>
          </w:p>
        </w:tc>
      </w:tr>
    </w:tbl>
    <w:p w14:paraId="0267E82F" w14:textId="77777777" w:rsidR="00FE5F3F" w:rsidRPr="005E25BA" w:rsidRDefault="00FE5F3F" w:rsidP="0047607A">
      <w:pPr>
        <w:spacing w:line="240" w:lineRule="auto"/>
        <w:rPr>
          <w:rFonts w:asciiTheme="majorHAnsi" w:eastAsiaTheme="majorEastAsia" w:hAnsiTheme="majorHAnsi" w:cstheme="majorBidi"/>
          <w:b/>
          <w:bCs/>
          <w:color w:val="5B9BD5" w:themeColor="accent1"/>
          <w:lang w:val="en-US"/>
        </w:rPr>
      </w:pPr>
      <w:r w:rsidRPr="005E25BA">
        <w:rPr>
          <w:lang w:val="en-US"/>
        </w:rPr>
        <w:br w:type="page"/>
      </w:r>
    </w:p>
    <w:p w14:paraId="641806CD" w14:textId="052914BA" w:rsidR="00FE5F3F" w:rsidRPr="005E25BA" w:rsidRDefault="00A602BF" w:rsidP="00A602BF">
      <w:pPr>
        <w:pStyle w:val="berschrift3"/>
        <w:numPr>
          <w:ilvl w:val="2"/>
          <w:numId w:val="7"/>
        </w:numPr>
        <w:spacing w:before="120" w:after="60" w:line="240" w:lineRule="auto"/>
        <w:rPr>
          <w:lang w:val="en-US"/>
        </w:rPr>
      </w:pPr>
      <w:bookmarkStart w:id="14" w:name="_Toc417085844"/>
      <w:bookmarkStart w:id="15" w:name="_Toc464741864"/>
      <w:r w:rsidRPr="005E25BA">
        <w:rPr>
          <w:bCs w:val="0"/>
          <w:iCs/>
          <w:color w:val="2E74B5" w:themeColor="accent1" w:themeShade="BF"/>
          <w:lang w:val="en-US"/>
        </w:rPr>
        <w:lastRenderedPageBreak/>
        <w:t>EXUS</w:t>
      </w:r>
      <w:r w:rsidR="00FE5F3F" w:rsidRPr="005E25BA">
        <w:rPr>
          <w:bCs w:val="0"/>
          <w:iCs/>
          <w:color w:val="2E74B5" w:themeColor="accent1" w:themeShade="BF"/>
          <w:lang w:val="en-US"/>
        </w:rPr>
        <w:t xml:space="preserve"> Ltd (</w:t>
      </w:r>
      <w:r w:rsidRPr="005E25BA">
        <w:rPr>
          <w:bCs w:val="0"/>
          <w:iCs/>
          <w:color w:val="2E74B5" w:themeColor="accent1" w:themeShade="BF"/>
          <w:lang w:val="en-US"/>
        </w:rPr>
        <w:t>Exus</w:t>
      </w:r>
      <w:r w:rsidR="00FE5F3F" w:rsidRPr="005E25BA">
        <w:rPr>
          <w:bCs w:val="0"/>
          <w:iCs/>
          <w:color w:val="2E74B5" w:themeColor="accent1" w:themeShade="BF"/>
          <w:lang w:val="en-US"/>
        </w:rPr>
        <w:t>)</w:t>
      </w:r>
      <w:bookmarkEnd w:id="14"/>
      <w:bookmarkEnd w:id="15"/>
      <w:r w:rsidRPr="005E25BA">
        <w:rPr>
          <w:lang w:val="en-US"/>
        </w:rPr>
        <w:t xml:space="preserve"> </w:t>
      </w:r>
      <w:r w:rsidR="00FE5F3F" w:rsidRPr="005E25BA">
        <w:rPr>
          <w:lang w:val="en-US"/>
        </w:rPr>
        <w:br w:type="page"/>
      </w:r>
    </w:p>
    <w:p w14:paraId="08C9D8BE" w14:textId="77777777" w:rsidR="00FE5F3F" w:rsidRPr="005E25BA" w:rsidRDefault="00FE5F3F" w:rsidP="00344B50">
      <w:pPr>
        <w:pStyle w:val="berschrift2"/>
        <w:numPr>
          <w:ilvl w:val="1"/>
          <w:numId w:val="7"/>
        </w:numPr>
        <w:spacing w:before="180" w:line="240" w:lineRule="auto"/>
        <w:rPr>
          <w:lang w:val="en-US"/>
        </w:rPr>
      </w:pPr>
      <w:bookmarkStart w:id="16" w:name="_Toc417085852"/>
      <w:bookmarkStart w:id="17" w:name="_Toc464741865"/>
      <w:r w:rsidRPr="005E25BA">
        <w:rPr>
          <w:lang w:val="en-US"/>
        </w:rPr>
        <w:lastRenderedPageBreak/>
        <w:t>Third parties involved in the project (third party resources)</w:t>
      </w:r>
      <w:bookmarkEnd w:id="16"/>
      <w:bookmarkEnd w:id="17"/>
    </w:p>
    <w:p w14:paraId="428CA493" w14:textId="00AA0529" w:rsidR="00FE5F3F" w:rsidRPr="005E25BA" w:rsidRDefault="00A602BF" w:rsidP="00344B50">
      <w:pPr>
        <w:pStyle w:val="berschrift3"/>
        <w:numPr>
          <w:ilvl w:val="2"/>
          <w:numId w:val="7"/>
        </w:numPr>
        <w:spacing w:before="120" w:after="60" w:line="240" w:lineRule="auto"/>
        <w:rPr>
          <w:bCs w:val="0"/>
          <w:iCs/>
          <w:color w:val="2E74B5" w:themeColor="accent1" w:themeShade="BF"/>
          <w:lang w:val="en-US"/>
        </w:rPr>
      </w:pPr>
      <w:bookmarkStart w:id="18" w:name="_Toc417085853"/>
      <w:bookmarkStart w:id="19" w:name="_Toc464741866"/>
      <w:r w:rsidRPr="005E25BA">
        <w:rPr>
          <w:bCs w:val="0"/>
          <w:iCs/>
          <w:color w:val="2E74B5" w:themeColor="accent1" w:themeShade="BF"/>
          <w:lang w:val="en-US"/>
        </w:rPr>
        <w:t>SIListra Systems GmbH</w:t>
      </w:r>
      <w:r w:rsidR="00FE5F3F" w:rsidRPr="005E25BA">
        <w:rPr>
          <w:bCs w:val="0"/>
          <w:iCs/>
          <w:color w:val="2E74B5" w:themeColor="accent1" w:themeShade="BF"/>
          <w:lang w:val="en-US"/>
        </w:rPr>
        <w:t xml:space="preserve"> (</w:t>
      </w:r>
      <w:r w:rsidRPr="005E25BA">
        <w:rPr>
          <w:bCs w:val="0"/>
          <w:iCs/>
          <w:color w:val="2E74B5" w:themeColor="accent1" w:themeShade="BF"/>
          <w:lang w:val="en-US"/>
        </w:rPr>
        <w:t>SIL</w:t>
      </w:r>
      <w:r w:rsidR="00FE5F3F" w:rsidRPr="005E25BA">
        <w:rPr>
          <w:bCs w:val="0"/>
          <w:iCs/>
          <w:color w:val="2E74B5" w:themeColor="accent1" w:themeShade="BF"/>
          <w:lang w:val="en-US"/>
        </w:rPr>
        <w:t>)</w:t>
      </w:r>
      <w:bookmarkEnd w:id="18"/>
      <w:bookmarkEnd w:id="19"/>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2"/>
        <w:gridCol w:w="586"/>
      </w:tblGrid>
      <w:tr w:rsidR="00FE5F3F" w:rsidRPr="005E25BA" w14:paraId="1C3CC24E" w14:textId="77777777" w:rsidTr="00E479E3">
        <w:trPr>
          <w:trHeight w:val="397"/>
        </w:trPr>
        <w:tc>
          <w:tcPr>
            <w:tcW w:w="9039" w:type="dxa"/>
            <w:shd w:val="clear" w:color="auto" w:fill="D5DCE4" w:themeFill="text2" w:themeFillTint="33"/>
            <w:vAlign w:val="center"/>
          </w:tcPr>
          <w:p w14:paraId="2892740B" w14:textId="77777777" w:rsidR="00FE5F3F" w:rsidRPr="005E25BA" w:rsidRDefault="00FE5F3F" w:rsidP="0047607A">
            <w:pPr>
              <w:spacing w:before="120" w:after="120" w:line="240" w:lineRule="auto"/>
              <w:rPr>
                <w:rFonts w:ascii="Calibri" w:eastAsia="Times New Roman" w:hAnsi="Calibri" w:cs="Times New Roman"/>
                <w:b/>
                <w:smallCaps/>
                <w:szCs w:val="20"/>
                <w:lang w:val="en-US"/>
              </w:rPr>
            </w:pPr>
            <w:r w:rsidRPr="005E25BA">
              <w:rPr>
                <w:rFonts w:ascii="Calibri" w:eastAsia="Times New Roman" w:hAnsi="Calibri" w:cs="Times New Roman"/>
                <w:bCs/>
                <w:szCs w:val="20"/>
                <w:lang w:val="en-US"/>
              </w:rPr>
              <w:t>Does the participant plan to subcontract certain tasks?</w:t>
            </w:r>
          </w:p>
        </w:tc>
        <w:tc>
          <w:tcPr>
            <w:tcW w:w="589" w:type="dxa"/>
            <w:shd w:val="clear" w:color="auto" w:fill="auto"/>
            <w:vAlign w:val="center"/>
          </w:tcPr>
          <w:p w14:paraId="157A9F44" w14:textId="77777777" w:rsidR="00FE5F3F" w:rsidRPr="005E25BA" w:rsidRDefault="00FE5F3F" w:rsidP="0047607A">
            <w:pPr>
              <w:spacing w:before="40" w:after="40" w:line="240" w:lineRule="auto"/>
              <w:jc w:val="center"/>
              <w:rPr>
                <w:rFonts w:ascii="Cambria" w:eastAsia="Times New Roman" w:hAnsi="Cambria" w:cs="Times New Roman"/>
                <w:color w:val="283138"/>
                <w:szCs w:val="20"/>
                <w:lang w:val="en-US"/>
              </w:rPr>
            </w:pPr>
            <w:r w:rsidRPr="005E25BA">
              <w:rPr>
                <w:rFonts w:ascii="Cambria" w:eastAsia="Times New Roman" w:hAnsi="Cambria" w:cs="Times New Roman"/>
                <w:color w:val="283138"/>
                <w:szCs w:val="20"/>
                <w:lang w:val="en-US"/>
              </w:rPr>
              <w:t>NO</w:t>
            </w:r>
          </w:p>
        </w:tc>
      </w:tr>
      <w:tr w:rsidR="00FE5F3F" w:rsidRPr="005E25BA" w14:paraId="62CBD8E6" w14:textId="77777777" w:rsidTr="00E479E3">
        <w:trPr>
          <w:trHeight w:val="397"/>
        </w:trPr>
        <w:tc>
          <w:tcPr>
            <w:tcW w:w="9039" w:type="dxa"/>
            <w:shd w:val="clear" w:color="auto" w:fill="D5DCE4" w:themeFill="text2" w:themeFillTint="33"/>
            <w:vAlign w:val="center"/>
          </w:tcPr>
          <w:p w14:paraId="61F6F291"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that part of its work is performed by linked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59C48269" w14:textId="77777777" w:rsidR="00FE5F3F" w:rsidRPr="005E25BA" w:rsidRDefault="00FE5F3F" w:rsidP="0047607A">
            <w:pPr>
              <w:spacing w:before="40" w:after="40" w:line="240" w:lineRule="auto"/>
              <w:jc w:val="center"/>
              <w:rPr>
                <w:rFonts w:ascii="Cambria" w:eastAsia="Times New Roman" w:hAnsi="Cambria" w:cs="Times New Roman"/>
                <w:bCs/>
                <w:smallCaps/>
                <w:color w:val="283138"/>
                <w:szCs w:val="20"/>
                <w:lang w:val="en-US"/>
              </w:rPr>
            </w:pPr>
            <w:r w:rsidRPr="005E25BA">
              <w:rPr>
                <w:rFonts w:ascii="Cambria" w:eastAsia="Times New Roman" w:hAnsi="Cambria" w:cs="Times New Roman"/>
                <w:bCs/>
                <w:smallCaps/>
                <w:color w:val="283138"/>
                <w:szCs w:val="20"/>
                <w:lang w:val="en-US"/>
              </w:rPr>
              <w:t>NO</w:t>
            </w:r>
          </w:p>
        </w:tc>
      </w:tr>
      <w:tr w:rsidR="00FE5F3F" w:rsidRPr="005E25BA" w14:paraId="43D273A7" w14:textId="77777777" w:rsidTr="00E479E3">
        <w:trPr>
          <w:trHeight w:val="397"/>
        </w:trPr>
        <w:tc>
          <w:tcPr>
            <w:tcW w:w="9039" w:type="dxa"/>
            <w:shd w:val="clear" w:color="auto" w:fill="D5DCE4" w:themeFill="text2" w:themeFillTint="33"/>
            <w:vAlign w:val="center"/>
          </w:tcPr>
          <w:p w14:paraId="414CD8D4"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the use of contributions in kind provided by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3C271EB9" w14:textId="77777777" w:rsidR="00FE5F3F" w:rsidRPr="005E25BA" w:rsidRDefault="00FE5F3F" w:rsidP="0047607A">
            <w:pPr>
              <w:spacing w:before="40" w:after="40" w:line="240" w:lineRule="auto"/>
              <w:jc w:val="center"/>
              <w:rPr>
                <w:rFonts w:ascii="Cambria" w:eastAsia="Times New Roman" w:hAnsi="Cambria" w:cs="Times New Roman"/>
                <w:b/>
                <w:bCs/>
                <w:smallCaps/>
                <w:color w:val="838D9B"/>
                <w:szCs w:val="20"/>
                <w:lang w:val="en-US"/>
              </w:rPr>
            </w:pPr>
            <w:r w:rsidRPr="005E25BA">
              <w:rPr>
                <w:rFonts w:ascii="Cambria" w:eastAsia="Times New Roman" w:hAnsi="Cambria" w:cs="Times New Roman"/>
                <w:bCs/>
                <w:color w:val="283138"/>
                <w:szCs w:val="20"/>
                <w:lang w:val="en-US"/>
              </w:rPr>
              <w:t>NO</w:t>
            </w:r>
          </w:p>
        </w:tc>
      </w:tr>
    </w:tbl>
    <w:p w14:paraId="786EB8BF" w14:textId="77777777" w:rsidR="00FE5F3F" w:rsidRPr="005E25BA" w:rsidRDefault="00FE5F3F" w:rsidP="00344B50">
      <w:pPr>
        <w:pStyle w:val="berschrift3"/>
        <w:numPr>
          <w:ilvl w:val="2"/>
          <w:numId w:val="7"/>
        </w:numPr>
        <w:spacing w:before="120" w:after="60" w:line="240" w:lineRule="auto"/>
        <w:rPr>
          <w:bCs w:val="0"/>
          <w:iCs/>
          <w:color w:val="2E74B5" w:themeColor="accent1" w:themeShade="BF"/>
          <w:lang w:val="en-US"/>
        </w:rPr>
      </w:pPr>
      <w:bookmarkStart w:id="20" w:name="_Toc417085857"/>
      <w:bookmarkStart w:id="21" w:name="_Toc464741867"/>
      <w:r w:rsidRPr="005E25BA">
        <w:rPr>
          <w:bCs w:val="0"/>
          <w:iCs/>
          <w:color w:val="2E74B5" w:themeColor="accent1" w:themeShade="BF"/>
          <w:lang w:val="en-US"/>
        </w:rPr>
        <w:t>Sync Lab S.r.l. (SYNC)</w:t>
      </w:r>
      <w:bookmarkEnd w:id="20"/>
      <w:bookmarkEnd w:id="21"/>
      <w:r w:rsidRPr="005E25BA">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2"/>
        <w:gridCol w:w="586"/>
      </w:tblGrid>
      <w:tr w:rsidR="00FE5F3F" w:rsidRPr="005E25BA" w14:paraId="5FA371E5" w14:textId="77777777" w:rsidTr="00E479E3">
        <w:trPr>
          <w:trHeight w:val="397"/>
        </w:trPr>
        <w:tc>
          <w:tcPr>
            <w:tcW w:w="9039" w:type="dxa"/>
            <w:shd w:val="clear" w:color="auto" w:fill="D5DCE4" w:themeFill="text2" w:themeFillTint="33"/>
            <w:vAlign w:val="center"/>
          </w:tcPr>
          <w:p w14:paraId="4AB26289" w14:textId="77777777" w:rsidR="00FE5F3F" w:rsidRPr="005E25BA" w:rsidRDefault="00FE5F3F" w:rsidP="0047607A">
            <w:pPr>
              <w:spacing w:before="120" w:after="120" w:line="240" w:lineRule="auto"/>
              <w:rPr>
                <w:rFonts w:ascii="Calibri" w:eastAsia="Times New Roman" w:hAnsi="Calibri" w:cs="Times New Roman"/>
                <w:b/>
                <w:smallCaps/>
                <w:szCs w:val="20"/>
                <w:lang w:val="en-US"/>
              </w:rPr>
            </w:pPr>
            <w:r w:rsidRPr="005E25BA">
              <w:rPr>
                <w:rFonts w:ascii="Calibri" w:eastAsia="Times New Roman" w:hAnsi="Calibri" w:cs="Times New Roman"/>
                <w:bCs/>
                <w:szCs w:val="20"/>
                <w:lang w:val="en-US"/>
              </w:rPr>
              <w:t>Does the participant plan to subcontract certain tasks?</w:t>
            </w:r>
          </w:p>
        </w:tc>
        <w:tc>
          <w:tcPr>
            <w:tcW w:w="589" w:type="dxa"/>
            <w:shd w:val="clear" w:color="auto" w:fill="auto"/>
            <w:vAlign w:val="center"/>
          </w:tcPr>
          <w:p w14:paraId="387AF205" w14:textId="77777777" w:rsidR="00FE5F3F" w:rsidRPr="005E25BA" w:rsidRDefault="00FE5F3F" w:rsidP="0047607A">
            <w:pPr>
              <w:spacing w:before="40" w:after="40" w:line="240" w:lineRule="auto"/>
              <w:jc w:val="center"/>
              <w:rPr>
                <w:rFonts w:ascii="Cambria" w:eastAsia="Times New Roman" w:hAnsi="Cambria" w:cs="Times New Roman"/>
                <w:color w:val="283138"/>
                <w:szCs w:val="20"/>
                <w:lang w:val="en-US"/>
              </w:rPr>
            </w:pPr>
            <w:r w:rsidRPr="005E25BA">
              <w:rPr>
                <w:rFonts w:ascii="Cambria" w:eastAsia="Times New Roman" w:hAnsi="Cambria" w:cs="Times New Roman"/>
                <w:color w:val="283138"/>
                <w:szCs w:val="20"/>
                <w:lang w:val="en-US"/>
              </w:rPr>
              <w:t>NO</w:t>
            </w:r>
          </w:p>
        </w:tc>
      </w:tr>
      <w:tr w:rsidR="00FE5F3F" w:rsidRPr="005E25BA" w14:paraId="490BCDD3" w14:textId="77777777" w:rsidTr="00E479E3">
        <w:trPr>
          <w:trHeight w:val="397"/>
        </w:trPr>
        <w:tc>
          <w:tcPr>
            <w:tcW w:w="9039" w:type="dxa"/>
            <w:shd w:val="clear" w:color="auto" w:fill="D5DCE4" w:themeFill="text2" w:themeFillTint="33"/>
            <w:vAlign w:val="center"/>
          </w:tcPr>
          <w:p w14:paraId="1C55545B"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that part of its work is performed by linked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1091EBB2" w14:textId="77777777" w:rsidR="00FE5F3F" w:rsidRPr="005E25BA" w:rsidRDefault="00FE5F3F" w:rsidP="0047607A">
            <w:pPr>
              <w:spacing w:before="40" w:after="40" w:line="240" w:lineRule="auto"/>
              <w:jc w:val="center"/>
              <w:rPr>
                <w:rFonts w:ascii="Cambria" w:eastAsia="Times New Roman" w:hAnsi="Cambria" w:cs="Times New Roman"/>
                <w:bCs/>
                <w:smallCaps/>
                <w:color w:val="283138"/>
                <w:szCs w:val="20"/>
                <w:lang w:val="en-US"/>
              </w:rPr>
            </w:pPr>
            <w:r w:rsidRPr="005E25BA">
              <w:rPr>
                <w:rFonts w:ascii="Cambria" w:eastAsia="Times New Roman" w:hAnsi="Cambria" w:cs="Times New Roman"/>
                <w:bCs/>
                <w:smallCaps/>
                <w:color w:val="283138"/>
                <w:szCs w:val="20"/>
                <w:lang w:val="en-US"/>
              </w:rPr>
              <w:t>NO</w:t>
            </w:r>
          </w:p>
        </w:tc>
      </w:tr>
      <w:tr w:rsidR="00FE5F3F" w:rsidRPr="005E25BA" w14:paraId="31D57F0C" w14:textId="77777777" w:rsidTr="00E479E3">
        <w:trPr>
          <w:trHeight w:val="397"/>
        </w:trPr>
        <w:tc>
          <w:tcPr>
            <w:tcW w:w="9039" w:type="dxa"/>
            <w:shd w:val="clear" w:color="auto" w:fill="D5DCE4" w:themeFill="text2" w:themeFillTint="33"/>
            <w:vAlign w:val="center"/>
          </w:tcPr>
          <w:p w14:paraId="64E40066"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the use of contributions in kind provided by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19F046B6" w14:textId="77777777" w:rsidR="00FE5F3F" w:rsidRPr="005E25BA" w:rsidRDefault="00FE5F3F" w:rsidP="0047607A">
            <w:pPr>
              <w:spacing w:before="40" w:after="40" w:line="240" w:lineRule="auto"/>
              <w:jc w:val="center"/>
              <w:rPr>
                <w:rFonts w:ascii="Cambria" w:eastAsia="Times New Roman" w:hAnsi="Cambria" w:cs="Times New Roman"/>
                <w:b/>
                <w:bCs/>
                <w:smallCaps/>
                <w:color w:val="838D9B"/>
                <w:szCs w:val="20"/>
                <w:lang w:val="en-US"/>
              </w:rPr>
            </w:pPr>
            <w:r w:rsidRPr="005E25BA">
              <w:rPr>
                <w:rFonts w:ascii="Cambria" w:eastAsia="Times New Roman" w:hAnsi="Cambria" w:cs="Times New Roman"/>
                <w:bCs/>
                <w:color w:val="283138"/>
                <w:szCs w:val="20"/>
                <w:lang w:val="en-US"/>
              </w:rPr>
              <w:t>NO</w:t>
            </w:r>
          </w:p>
        </w:tc>
      </w:tr>
    </w:tbl>
    <w:p w14:paraId="6677BB69" w14:textId="53A66C01" w:rsidR="00FE5F3F" w:rsidRPr="005E25BA" w:rsidRDefault="00A602BF" w:rsidP="00344B50">
      <w:pPr>
        <w:pStyle w:val="berschrift3"/>
        <w:numPr>
          <w:ilvl w:val="2"/>
          <w:numId w:val="7"/>
        </w:numPr>
        <w:spacing w:before="120" w:after="60" w:line="240" w:lineRule="auto"/>
        <w:rPr>
          <w:lang w:val="en-US"/>
        </w:rPr>
      </w:pPr>
      <w:bookmarkStart w:id="22" w:name="_Toc417085858"/>
      <w:bookmarkStart w:id="23" w:name="_Toc464741868"/>
      <w:r w:rsidRPr="005E25BA">
        <w:rPr>
          <w:bCs w:val="0"/>
          <w:iCs/>
          <w:color w:val="2E74B5" w:themeColor="accent1" w:themeShade="BF"/>
          <w:lang w:val="en-US"/>
        </w:rPr>
        <w:t>Exus</w:t>
      </w:r>
      <w:r w:rsidR="00FE5F3F" w:rsidRPr="005E25BA">
        <w:rPr>
          <w:bCs w:val="0"/>
          <w:iCs/>
          <w:color w:val="2E74B5" w:themeColor="accent1" w:themeShade="BF"/>
          <w:lang w:val="en-US"/>
        </w:rPr>
        <w:t xml:space="preserve"> (</w:t>
      </w:r>
      <w:r w:rsidRPr="005E25BA">
        <w:rPr>
          <w:bCs w:val="0"/>
          <w:iCs/>
          <w:color w:val="2E74B5" w:themeColor="accent1" w:themeShade="BF"/>
          <w:lang w:val="en-US"/>
        </w:rPr>
        <w:t>Exus</w:t>
      </w:r>
      <w:r w:rsidR="00FE5F3F" w:rsidRPr="005E25BA">
        <w:rPr>
          <w:bCs w:val="0"/>
          <w:iCs/>
          <w:color w:val="2E74B5" w:themeColor="accent1" w:themeShade="BF"/>
          <w:lang w:val="en-US"/>
        </w:rPr>
        <w:t>)</w:t>
      </w:r>
      <w:bookmarkEnd w:id="22"/>
      <w:bookmarkEnd w:id="23"/>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2"/>
        <w:gridCol w:w="586"/>
      </w:tblGrid>
      <w:tr w:rsidR="00FE5F3F" w:rsidRPr="005E25BA" w14:paraId="45E35C4A" w14:textId="77777777" w:rsidTr="00E479E3">
        <w:trPr>
          <w:trHeight w:val="397"/>
        </w:trPr>
        <w:tc>
          <w:tcPr>
            <w:tcW w:w="9039" w:type="dxa"/>
            <w:shd w:val="clear" w:color="auto" w:fill="D5DCE4" w:themeFill="text2" w:themeFillTint="33"/>
            <w:vAlign w:val="center"/>
          </w:tcPr>
          <w:p w14:paraId="1A5D92FF" w14:textId="77777777" w:rsidR="00FE5F3F" w:rsidRPr="005E25BA" w:rsidRDefault="00FE5F3F" w:rsidP="0047607A">
            <w:pPr>
              <w:spacing w:before="120" w:after="120" w:line="240" w:lineRule="auto"/>
              <w:rPr>
                <w:rFonts w:ascii="Calibri" w:eastAsia="Times New Roman" w:hAnsi="Calibri" w:cs="Times New Roman"/>
                <w:b/>
                <w:smallCaps/>
                <w:szCs w:val="20"/>
                <w:lang w:val="en-US"/>
              </w:rPr>
            </w:pPr>
            <w:r w:rsidRPr="005E25BA">
              <w:rPr>
                <w:rFonts w:ascii="Calibri" w:eastAsia="Times New Roman" w:hAnsi="Calibri" w:cs="Times New Roman"/>
                <w:bCs/>
                <w:szCs w:val="20"/>
                <w:lang w:val="en-US"/>
              </w:rPr>
              <w:t>Does the participant plan to subcontract certain tasks?</w:t>
            </w:r>
          </w:p>
        </w:tc>
        <w:tc>
          <w:tcPr>
            <w:tcW w:w="589" w:type="dxa"/>
            <w:shd w:val="clear" w:color="auto" w:fill="auto"/>
            <w:vAlign w:val="center"/>
          </w:tcPr>
          <w:p w14:paraId="12DD110A" w14:textId="77777777" w:rsidR="00FE5F3F" w:rsidRPr="005E25BA" w:rsidRDefault="00FE5F3F" w:rsidP="0047607A">
            <w:pPr>
              <w:spacing w:before="40" w:after="40" w:line="240" w:lineRule="auto"/>
              <w:jc w:val="center"/>
              <w:rPr>
                <w:rFonts w:ascii="Cambria" w:eastAsia="Times New Roman" w:hAnsi="Cambria" w:cs="Times New Roman"/>
                <w:color w:val="283138"/>
                <w:szCs w:val="20"/>
                <w:lang w:val="en-US"/>
              </w:rPr>
            </w:pPr>
            <w:r w:rsidRPr="005E25BA">
              <w:rPr>
                <w:rFonts w:ascii="Cambria" w:eastAsia="Times New Roman" w:hAnsi="Cambria" w:cs="Times New Roman"/>
                <w:color w:val="283138"/>
                <w:szCs w:val="20"/>
                <w:lang w:val="en-US"/>
              </w:rPr>
              <w:t>NO</w:t>
            </w:r>
          </w:p>
        </w:tc>
      </w:tr>
      <w:tr w:rsidR="00FE5F3F" w:rsidRPr="005E25BA" w14:paraId="359401CF" w14:textId="77777777" w:rsidTr="00E479E3">
        <w:trPr>
          <w:trHeight w:val="397"/>
        </w:trPr>
        <w:tc>
          <w:tcPr>
            <w:tcW w:w="9039" w:type="dxa"/>
            <w:shd w:val="clear" w:color="auto" w:fill="D5DCE4" w:themeFill="text2" w:themeFillTint="33"/>
            <w:vAlign w:val="center"/>
          </w:tcPr>
          <w:p w14:paraId="3E584A71"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that part of its work is performed by linked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5C2C966F" w14:textId="77777777" w:rsidR="00FE5F3F" w:rsidRPr="005E25BA" w:rsidRDefault="00FE5F3F" w:rsidP="0047607A">
            <w:pPr>
              <w:spacing w:before="40" w:after="40" w:line="240" w:lineRule="auto"/>
              <w:jc w:val="center"/>
              <w:rPr>
                <w:rFonts w:ascii="Cambria" w:eastAsia="Times New Roman" w:hAnsi="Cambria" w:cs="Times New Roman"/>
                <w:bCs/>
                <w:smallCaps/>
                <w:color w:val="283138"/>
                <w:szCs w:val="20"/>
                <w:lang w:val="en-US"/>
              </w:rPr>
            </w:pPr>
            <w:r w:rsidRPr="005E25BA">
              <w:rPr>
                <w:rFonts w:ascii="Cambria" w:eastAsia="Times New Roman" w:hAnsi="Cambria" w:cs="Times New Roman"/>
                <w:bCs/>
                <w:smallCaps/>
                <w:color w:val="283138"/>
                <w:szCs w:val="20"/>
                <w:lang w:val="en-US"/>
              </w:rPr>
              <w:t>NO</w:t>
            </w:r>
          </w:p>
        </w:tc>
      </w:tr>
      <w:tr w:rsidR="00FE5F3F" w:rsidRPr="005E25BA" w14:paraId="7687E31A" w14:textId="77777777" w:rsidTr="00E479E3">
        <w:trPr>
          <w:trHeight w:val="397"/>
        </w:trPr>
        <w:tc>
          <w:tcPr>
            <w:tcW w:w="9039" w:type="dxa"/>
            <w:shd w:val="clear" w:color="auto" w:fill="D5DCE4" w:themeFill="text2" w:themeFillTint="33"/>
            <w:vAlign w:val="center"/>
          </w:tcPr>
          <w:p w14:paraId="0A1621BE" w14:textId="77777777" w:rsidR="00FE5F3F" w:rsidRPr="005E25BA" w:rsidRDefault="00FE5F3F" w:rsidP="0047607A">
            <w:pPr>
              <w:spacing w:before="120" w:after="120" w:line="240" w:lineRule="auto"/>
              <w:rPr>
                <w:rFonts w:ascii="Calibri" w:eastAsia="Times New Roman" w:hAnsi="Calibri" w:cs="Times New Roman"/>
                <w:bCs/>
                <w:szCs w:val="20"/>
                <w:lang w:val="en-US"/>
              </w:rPr>
            </w:pPr>
            <w:r w:rsidRPr="005E25BA">
              <w:rPr>
                <w:rFonts w:ascii="Calibri" w:eastAsia="Times New Roman" w:hAnsi="Calibri" w:cs="Times New Roman"/>
                <w:bCs/>
                <w:szCs w:val="20"/>
                <w:lang w:val="en-US"/>
              </w:rPr>
              <w:t>Does the participant envisage the use of contributions in kind provided by 3</w:t>
            </w:r>
            <w:r w:rsidRPr="005E25BA">
              <w:rPr>
                <w:rFonts w:ascii="Calibri" w:eastAsia="Times New Roman" w:hAnsi="Calibri" w:cs="Times New Roman"/>
                <w:bCs/>
                <w:szCs w:val="20"/>
                <w:vertAlign w:val="superscript"/>
                <w:lang w:val="en-US"/>
              </w:rPr>
              <w:t>rd</w:t>
            </w:r>
            <w:r w:rsidRPr="005E25BA">
              <w:rPr>
                <w:rFonts w:ascii="Calibri" w:eastAsia="Times New Roman" w:hAnsi="Calibri" w:cs="Times New Roman"/>
                <w:bCs/>
                <w:szCs w:val="20"/>
                <w:lang w:val="en-US"/>
              </w:rPr>
              <w:t xml:space="preserve"> parties?</w:t>
            </w:r>
          </w:p>
        </w:tc>
        <w:tc>
          <w:tcPr>
            <w:tcW w:w="589" w:type="dxa"/>
            <w:vAlign w:val="center"/>
          </w:tcPr>
          <w:p w14:paraId="0E192AB4" w14:textId="77777777" w:rsidR="00FE5F3F" w:rsidRPr="005E25BA" w:rsidRDefault="00FE5F3F" w:rsidP="0047607A">
            <w:pPr>
              <w:spacing w:before="40" w:after="40" w:line="240" w:lineRule="auto"/>
              <w:jc w:val="center"/>
              <w:rPr>
                <w:rFonts w:ascii="Cambria" w:eastAsia="Times New Roman" w:hAnsi="Cambria" w:cs="Times New Roman"/>
                <w:b/>
                <w:bCs/>
                <w:smallCaps/>
                <w:color w:val="838D9B"/>
                <w:szCs w:val="20"/>
                <w:lang w:val="en-US"/>
              </w:rPr>
            </w:pPr>
            <w:r w:rsidRPr="005E25BA">
              <w:rPr>
                <w:rFonts w:ascii="Cambria" w:eastAsia="Times New Roman" w:hAnsi="Cambria" w:cs="Times New Roman"/>
                <w:bCs/>
                <w:color w:val="283138"/>
                <w:szCs w:val="20"/>
                <w:lang w:val="en-US"/>
              </w:rPr>
              <w:t>NO</w:t>
            </w:r>
          </w:p>
        </w:tc>
      </w:tr>
    </w:tbl>
    <w:p w14:paraId="2AA4F102" w14:textId="77777777" w:rsidR="00A602BF" w:rsidRPr="005E25BA" w:rsidRDefault="00A602BF" w:rsidP="00344B50">
      <w:pPr>
        <w:pStyle w:val="berschrift1"/>
        <w:numPr>
          <w:ilvl w:val="0"/>
          <w:numId w:val="7"/>
        </w:numPr>
        <w:spacing w:before="240" w:line="240" w:lineRule="auto"/>
        <w:rPr>
          <w:lang w:val="en-US"/>
        </w:rPr>
      </w:pPr>
      <w:bookmarkStart w:id="24" w:name="_Toc417085866"/>
      <w:bookmarkStart w:id="25" w:name="_Toc464741869"/>
      <w:bookmarkEnd w:id="25"/>
    </w:p>
    <w:p w14:paraId="6F583D3F" w14:textId="77777777" w:rsidR="00A602BF" w:rsidRPr="005E25BA"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5E25BA">
        <w:rPr>
          <w:lang w:val="en-US"/>
        </w:rPr>
        <w:br w:type="page"/>
      </w:r>
    </w:p>
    <w:p w14:paraId="4E21339A" w14:textId="14BE9B4B" w:rsidR="00FE5F3F" w:rsidRPr="005E25BA" w:rsidRDefault="00FE5F3F" w:rsidP="00344B50">
      <w:pPr>
        <w:pStyle w:val="berschrift1"/>
        <w:numPr>
          <w:ilvl w:val="0"/>
          <w:numId w:val="7"/>
        </w:numPr>
        <w:spacing w:before="240" w:line="240" w:lineRule="auto"/>
        <w:rPr>
          <w:lang w:val="en-US"/>
        </w:rPr>
      </w:pPr>
      <w:bookmarkStart w:id="26" w:name="_Toc464741870"/>
      <w:r w:rsidRPr="005E25BA">
        <w:rPr>
          <w:lang w:val="en-US"/>
        </w:rPr>
        <w:lastRenderedPageBreak/>
        <w:t>Ethics and Security</w:t>
      </w:r>
      <w:bookmarkEnd w:id="24"/>
      <w:bookmarkEnd w:id="26"/>
      <w:r w:rsidRPr="005E25BA">
        <w:rPr>
          <w:lang w:val="en-US"/>
        </w:rPr>
        <w:t xml:space="preserve"> </w:t>
      </w:r>
    </w:p>
    <w:p w14:paraId="6AC586EA" w14:textId="77777777" w:rsidR="00FE5F3F" w:rsidRPr="005E25BA" w:rsidRDefault="00FE5F3F" w:rsidP="00197563">
      <w:pPr>
        <w:pStyle w:val="berschrift2"/>
        <w:numPr>
          <w:ilvl w:val="1"/>
          <w:numId w:val="7"/>
        </w:numPr>
        <w:spacing w:before="180" w:line="240" w:lineRule="auto"/>
        <w:rPr>
          <w:lang w:val="en-US"/>
        </w:rPr>
      </w:pPr>
      <w:bookmarkStart w:id="27" w:name="_Toc417085867"/>
      <w:bookmarkStart w:id="28" w:name="_Toc464741871"/>
      <w:r w:rsidRPr="005E25BA">
        <w:rPr>
          <w:lang w:val="en-US"/>
        </w:rPr>
        <w:t>Ethics</w:t>
      </w:r>
      <w:bookmarkEnd w:id="27"/>
      <w:bookmarkEnd w:id="28"/>
    </w:p>
    <w:p w14:paraId="36D5B565" w14:textId="77777777" w:rsidR="00FE5F3F" w:rsidRPr="005E25BA" w:rsidRDefault="00FE5F3F" w:rsidP="0047607A">
      <w:pPr>
        <w:spacing w:after="120" w:line="240" w:lineRule="auto"/>
        <w:rPr>
          <w:i/>
          <w:lang w:val="en-US"/>
        </w:rPr>
      </w:pPr>
      <w:r w:rsidRPr="005E25BA">
        <w:rPr>
          <w:i/>
          <w:lang w:val="en-US"/>
        </w:rPr>
        <w:t>Questions we answered with YES in the Ethics issues table (Part A)</w:t>
      </w:r>
    </w:p>
    <w:p w14:paraId="3F9CBD3B" w14:textId="77777777" w:rsidR="00FE5F3F" w:rsidRPr="005E25BA" w:rsidRDefault="00FE5F3F" w:rsidP="0047607A">
      <w:pPr>
        <w:spacing w:after="60" w:line="240" w:lineRule="auto"/>
        <w:rPr>
          <w:lang w:val="en-US"/>
        </w:rPr>
      </w:pPr>
      <w:r w:rsidRPr="005E25BA">
        <w:rPr>
          <w:lang w:val="en-US"/>
        </w:rPr>
        <w:t>2. Humans</w:t>
      </w:r>
    </w:p>
    <w:p w14:paraId="7B145C98" w14:textId="5A1D83CF" w:rsidR="00FE5F3F" w:rsidRPr="005E25BA" w:rsidRDefault="00FE5F3F" w:rsidP="0047607A">
      <w:pPr>
        <w:spacing w:after="60" w:line="240" w:lineRule="auto"/>
        <w:ind w:left="708"/>
        <w:rPr>
          <w:lang w:val="en-US"/>
        </w:rPr>
      </w:pPr>
      <w:r w:rsidRPr="005E25BA">
        <w:rPr>
          <w:lang w:val="en-US"/>
        </w:rPr>
        <w:t xml:space="preserve">Does your research involve human participants? </w:t>
      </w:r>
      <w:r w:rsidRPr="005E25BA">
        <w:rPr>
          <w:lang w:val="en-US"/>
        </w:rPr>
        <w:tab/>
      </w:r>
      <w:r w:rsidRPr="005E25BA">
        <w:rPr>
          <w:lang w:val="en-US"/>
        </w:rPr>
        <w:tab/>
      </w:r>
      <w:r w:rsidRPr="005E25BA">
        <w:rPr>
          <w:lang w:val="en-US"/>
        </w:rPr>
        <w:tab/>
      </w:r>
      <w:r w:rsidRPr="005E25BA">
        <w:rPr>
          <w:lang w:val="en-US"/>
        </w:rPr>
        <w:tab/>
      </w:r>
      <w:r w:rsidR="00A602BF" w:rsidRPr="005E25BA">
        <w:rPr>
          <w:lang w:val="en-US"/>
        </w:rPr>
        <w:t>No</w:t>
      </w:r>
      <w:r w:rsidRPr="005E25BA">
        <w:rPr>
          <w:lang w:val="en-US"/>
        </w:rPr>
        <w:t xml:space="preserve"> </w:t>
      </w:r>
    </w:p>
    <w:p w14:paraId="57311D17" w14:textId="482E6A72" w:rsidR="00FE5F3F" w:rsidRPr="005E25BA" w:rsidRDefault="00FE5F3F" w:rsidP="0047607A">
      <w:pPr>
        <w:spacing w:after="60" w:line="240" w:lineRule="auto"/>
        <w:ind w:firstLine="708"/>
        <w:rPr>
          <w:lang w:val="en-US"/>
        </w:rPr>
      </w:pPr>
      <w:r w:rsidRPr="005E25BA">
        <w:rPr>
          <w:lang w:val="en-US"/>
        </w:rPr>
        <w:t>Are they volunteers for social or human sciences research?</w:t>
      </w:r>
      <w:r w:rsidRPr="005E25BA">
        <w:rPr>
          <w:lang w:val="en-US"/>
        </w:rPr>
        <w:tab/>
      </w:r>
      <w:r w:rsidRPr="005E25BA">
        <w:rPr>
          <w:lang w:val="en-US"/>
        </w:rPr>
        <w:tab/>
      </w:r>
      <w:r w:rsidRPr="005E25BA">
        <w:rPr>
          <w:lang w:val="en-US"/>
        </w:rPr>
        <w:tab/>
      </w:r>
      <w:r w:rsidR="00A602BF" w:rsidRPr="005E25BA">
        <w:rPr>
          <w:lang w:val="en-US"/>
        </w:rPr>
        <w:t>No</w:t>
      </w:r>
    </w:p>
    <w:p w14:paraId="1235EE86" w14:textId="77777777" w:rsidR="00FE5F3F" w:rsidRPr="005E25BA" w:rsidRDefault="00FE5F3F" w:rsidP="0047607A">
      <w:pPr>
        <w:spacing w:after="60" w:line="240" w:lineRule="auto"/>
        <w:rPr>
          <w:lang w:val="en-US"/>
        </w:rPr>
      </w:pPr>
      <w:r w:rsidRPr="005E25BA">
        <w:rPr>
          <w:lang w:val="en-US"/>
        </w:rPr>
        <w:t>4. Personal Data</w:t>
      </w:r>
    </w:p>
    <w:p w14:paraId="3A0C4520" w14:textId="6F48A395" w:rsidR="00FE5F3F" w:rsidRPr="005E25BA" w:rsidRDefault="00FE5F3F" w:rsidP="0047607A">
      <w:pPr>
        <w:spacing w:after="60" w:line="240" w:lineRule="auto"/>
        <w:ind w:left="708"/>
        <w:rPr>
          <w:lang w:val="en-US"/>
        </w:rPr>
      </w:pPr>
      <w:r w:rsidRPr="005E25BA">
        <w:rPr>
          <w:lang w:val="en-US"/>
        </w:rPr>
        <w:t xml:space="preserve">Does your research involve personal data collection and/or processing? </w:t>
      </w:r>
      <w:r w:rsidRPr="005E25BA">
        <w:rPr>
          <w:lang w:val="en-US"/>
        </w:rPr>
        <w:tab/>
      </w:r>
      <w:r w:rsidR="00A602BF" w:rsidRPr="005E25BA">
        <w:rPr>
          <w:lang w:val="en-US"/>
        </w:rPr>
        <w:t>No</w:t>
      </w:r>
    </w:p>
    <w:p w14:paraId="03C4AA2E" w14:textId="4FBB1099" w:rsidR="00FE5F3F" w:rsidRPr="005E25BA" w:rsidRDefault="00FE5F3F" w:rsidP="0047607A">
      <w:pPr>
        <w:spacing w:after="60" w:line="240" w:lineRule="auto"/>
        <w:ind w:left="708"/>
        <w:rPr>
          <w:lang w:val="en-US"/>
        </w:rPr>
      </w:pPr>
      <w:r w:rsidRPr="005E25BA">
        <w:rPr>
          <w:lang w:val="en-US"/>
        </w:rPr>
        <w:t xml:space="preserve">Does your research involve further processing of previously </w:t>
      </w:r>
      <w:r w:rsidRPr="005E25BA">
        <w:rPr>
          <w:lang w:val="en-US"/>
        </w:rPr>
        <w:tab/>
      </w:r>
      <w:r w:rsidRPr="005E25BA">
        <w:rPr>
          <w:lang w:val="en-US"/>
        </w:rPr>
        <w:tab/>
      </w:r>
      <w:r w:rsidRPr="005E25BA">
        <w:rPr>
          <w:lang w:val="en-US"/>
        </w:rPr>
        <w:tab/>
      </w:r>
      <w:r w:rsidR="00A602BF" w:rsidRPr="005E25BA">
        <w:rPr>
          <w:lang w:val="en-US"/>
        </w:rPr>
        <w:t>No</w:t>
      </w:r>
      <w:r w:rsidRPr="005E25BA">
        <w:rPr>
          <w:lang w:val="en-US"/>
        </w:rPr>
        <w:br/>
        <w:t>collected personal data (secondary use)?</w:t>
      </w:r>
      <w:r w:rsidRPr="005E25BA">
        <w:rPr>
          <w:lang w:val="en-US"/>
        </w:rPr>
        <w:br/>
      </w:r>
    </w:p>
    <w:p w14:paraId="0EB0EE30" w14:textId="77777777" w:rsidR="00FE5F3F" w:rsidRPr="005E25BA" w:rsidRDefault="00FE5F3F" w:rsidP="00197563">
      <w:pPr>
        <w:pStyle w:val="berschrift2"/>
        <w:numPr>
          <w:ilvl w:val="1"/>
          <w:numId w:val="7"/>
        </w:numPr>
        <w:spacing w:before="180" w:line="240" w:lineRule="auto"/>
        <w:rPr>
          <w:lang w:val="en-US"/>
        </w:rPr>
      </w:pPr>
      <w:bookmarkStart w:id="29" w:name="_Toc417085868"/>
      <w:bookmarkStart w:id="30" w:name="_Toc464741872"/>
      <w:r w:rsidRPr="005E25BA">
        <w:rPr>
          <w:lang w:val="en-US"/>
        </w:rPr>
        <w:t>Security</w:t>
      </w:r>
      <w:bookmarkEnd w:id="29"/>
      <w:bookmarkEnd w:id="30"/>
    </w:p>
    <w:p w14:paraId="34AE62EC" w14:textId="77777777" w:rsidR="00FE5F3F" w:rsidRPr="005E25BA" w:rsidRDefault="00FE5F3F" w:rsidP="0047607A">
      <w:pPr>
        <w:pStyle w:val="H2020Standard"/>
        <w:spacing w:line="240" w:lineRule="auto"/>
        <w:rPr>
          <w:lang w:val="en-US"/>
        </w:rPr>
      </w:pPr>
      <w:r w:rsidRPr="005E25BA">
        <w:rPr>
          <w:lang w:val="en-US"/>
        </w:rPr>
        <w:t xml:space="preserve">This project will </w:t>
      </w:r>
      <w:r w:rsidRPr="005E25BA">
        <w:rPr>
          <w:b/>
          <w:color w:val="5B9BD5" w:themeColor="accent1"/>
          <w:lang w:val="en-US"/>
        </w:rPr>
        <w:t>not</w:t>
      </w:r>
      <w:r w:rsidRPr="005E25BA">
        <w:rPr>
          <w:color w:val="D2610C"/>
          <w:lang w:val="en-US"/>
        </w:rPr>
        <w:t xml:space="preserve"> </w:t>
      </w:r>
      <w:r w:rsidRPr="005E25BA">
        <w:rPr>
          <w:lang w:val="en-US"/>
        </w:rPr>
        <w:t xml:space="preserve">involve activities or results raising security issues and will </w:t>
      </w:r>
      <w:r w:rsidRPr="005E25BA">
        <w:rPr>
          <w:b/>
          <w:color w:val="5B9BD5" w:themeColor="accent1"/>
          <w:lang w:val="en-US"/>
        </w:rPr>
        <w:t>not</w:t>
      </w:r>
      <w:r w:rsidRPr="005E25BA">
        <w:rPr>
          <w:color w:val="5B9BD5" w:themeColor="accent1"/>
          <w:lang w:val="en-US"/>
        </w:rPr>
        <w:t xml:space="preserve"> </w:t>
      </w:r>
      <w:r w:rsidRPr="005E25BA">
        <w:rPr>
          <w:lang w:val="en-US"/>
        </w:rPr>
        <w:t>involve 'EU-classified information' as background or results.</w:t>
      </w:r>
    </w:p>
    <w:p w14:paraId="2115CADF" w14:textId="77777777" w:rsidR="00FE5F3F" w:rsidRPr="005E25BA" w:rsidRDefault="00FE5F3F" w:rsidP="0047607A">
      <w:pPr>
        <w:spacing w:line="240" w:lineRule="auto"/>
        <w:rPr>
          <w:rFonts w:cs="MyriadPro-Regular"/>
          <w:i/>
          <w:color w:val="0070C0"/>
          <w:szCs w:val="24"/>
          <w:lang w:val="en-US"/>
        </w:rPr>
      </w:pPr>
    </w:p>
    <w:p w14:paraId="5C1481A6" w14:textId="77777777" w:rsidR="00FE5F3F" w:rsidRPr="005E25BA" w:rsidRDefault="00FE5F3F" w:rsidP="0047607A">
      <w:pPr>
        <w:spacing w:line="240" w:lineRule="auto"/>
        <w:rPr>
          <w:lang w:val="en-US"/>
        </w:rPr>
      </w:pPr>
    </w:p>
    <w:p w14:paraId="7F233576" w14:textId="77777777" w:rsidR="00197563" w:rsidRPr="005E25BA" w:rsidRDefault="00197563" w:rsidP="0047607A">
      <w:pPr>
        <w:spacing w:line="240" w:lineRule="auto"/>
        <w:rPr>
          <w:rFonts w:ascii="Cambria" w:hAnsi="Cambria"/>
          <w:lang w:val="en-US"/>
        </w:rPr>
        <w:sectPr w:rsidR="00197563" w:rsidRPr="005E25BA" w:rsidSect="00197563">
          <w:headerReference w:type="default" r:id="rId12"/>
          <w:footerReference w:type="default" r:id="rId13"/>
          <w:pgSz w:w="11906" w:h="16838"/>
          <w:pgMar w:top="1417" w:right="1417" w:bottom="1134" w:left="1417" w:header="1191" w:footer="850" w:gutter="0"/>
          <w:cols w:space="708"/>
          <w:docGrid w:linePitch="360"/>
        </w:sectPr>
      </w:pPr>
    </w:p>
    <w:p w14:paraId="12885B48" w14:textId="0669FE20" w:rsidR="002149D1" w:rsidRPr="005E25BA" w:rsidRDefault="00197563" w:rsidP="00197563">
      <w:pPr>
        <w:pStyle w:val="berschrift1"/>
        <w:spacing w:before="240" w:line="240" w:lineRule="auto"/>
        <w:rPr>
          <w:lang w:val="en-US"/>
        </w:rPr>
      </w:pPr>
      <w:bookmarkStart w:id="31" w:name="_Toc464741873"/>
      <w:r w:rsidRPr="005E25BA">
        <w:rPr>
          <w:lang w:val="en-US"/>
        </w:rPr>
        <w:lastRenderedPageBreak/>
        <w:t>Annex 1: Drafted Coordination Agreement</w:t>
      </w:r>
      <w:bookmarkEnd w:id="31"/>
    </w:p>
    <w:p w14:paraId="4CDE4781" w14:textId="77777777" w:rsidR="00197563" w:rsidRPr="005E25BA" w:rsidRDefault="00197563" w:rsidP="00197563">
      <w:pPr>
        <w:pStyle w:val="H2020Standard"/>
        <w:rPr>
          <w:lang w:val="en-US"/>
        </w:rPr>
      </w:pPr>
    </w:p>
    <w:p w14:paraId="383FA912" w14:textId="77777777" w:rsidR="00197563" w:rsidRPr="005E25BA"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5E25BA">
        <w:rPr>
          <w:rFonts w:ascii="Arial Bold" w:hAnsi="Arial Bold"/>
          <w:smallCaps/>
          <w:spacing w:val="-3"/>
          <w:sz w:val="22"/>
          <w:u w:val="single"/>
          <w:lang w:val="en-US"/>
        </w:rPr>
        <w:t>Coordination Agreement</w:t>
      </w:r>
    </w:p>
    <w:p w14:paraId="7D45E17D" w14:textId="56789B3E" w:rsidR="00197563" w:rsidRPr="005E25BA"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5E25BA">
        <w:rPr>
          <w:rFonts w:ascii="Arial Bold" w:hAnsi="Arial Bold"/>
          <w:smallCaps/>
          <w:spacing w:val="-3"/>
          <w:sz w:val="22"/>
          <w:u w:val="single"/>
          <w:lang w:val="en-US"/>
        </w:rPr>
        <w:t>Concerning the Coordinated EU Project on</w:t>
      </w:r>
    </w:p>
    <w:p w14:paraId="7CE88353" w14:textId="4FE94518" w:rsidR="00197563" w:rsidRPr="005E25BA"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5E25BA">
        <w:rPr>
          <w:rFonts w:ascii="Arial Bold" w:hAnsi="Arial Bold"/>
          <w:smallCaps/>
          <w:spacing w:val="-3"/>
          <w:sz w:val="22"/>
          <w:u w:val="single"/>
          <w:lang w:val="en-US"/>
        </w:rPr>
        <w:t>SCP</w:t>
      </w:r>
    </w:p>
    <w:p w14:paraId="7F02FE36" w14:textId="77777777" w:rsidR="00197563" w:rsidRPr="005E25BA"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5E25BA">
        <w:rPr>
          <w:rFonts w:ascii="Arial Bold" w:hAnsi="Arial Bold"/>
          <w:smallCaps/>
          <w:spacing w:val="-3"/>
          <w:sz w:val="22"/>
          <w:u w:val="single"/>
          <w:lang w:val="en-US"/>
        </w:rPr>
        <w:t>Contract No xxxx</w:t>
      </w:r>
    </w:p>
    <w:p w14:paraId="30DF4F96" w14:textId="77777777" w:rsidR="00197563" w:rsidRPr="005E25BA"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5E25BA" w:rsidRDefault="00197563" w:rsidP="00197563">
      <w:pPr>
        <w:pStyle w:val="Standard1"/>
        <w:tabs>
          <w:tab w:val="left" w:pos="0"/>
          <w:tab w:val="left" w:pos="317"/>
          <w:tab w:val="left" w:pos="720"/>
        </w:tabs>
        <w:jc w:val="center"/>
        <w:rPr>
          <w:rFonts w:ascii="Arial" w:hAnsi="Arial"/>
          <w:smallCaps/>
          <w:spacing w:val="-3"/>
          <w:sz w:val="22"/>
          <w:lang w:val="en-US"/>
        </w:rPr>
      </w:pPr>
      <w:r w:rsidRPr="005E25BA">
        <w:rPr>
          <w:rFonts w:ascii="Arial" w:hAnsi="Arial"/>
          <w:smallCaps/>
          <w:spacing w:val="-3"/>
          <w:sz w:val="22"/>
          <w:lang w:val="en-US"/>
        </w:rPr>
        <w:t>between</w:t>
      </w:r>
    </w:p>
    <w:p w14:paraId="5EE78966" w14:textId="77777777" w:rsidR="00197563" w:rsidRPr="005E25BA"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5E25BA" w:rsidRDefault="00197563" w:rsidP="00197563">
      <w:pPr>
        <w:pStyle w:val="Standard1"/>
        <w:tabs>
          <w:tab w:val="left" w:pos="0"/>
          <w:tab w:val="left" w:pos="317"/>
          <w:tab w:val="left" w:pos="720"/>
        </w:tabs>
        <w:jc w:val="center"/>
        <w:rPr>
          <w:rFonts w:ascii="Arial Bold" w:hAnsi="Arial Bold"/>
          <w:smallCaps/>
          <w:spacing w:val="-3"/>
          <w:sz w:val="22"/>
          <w:lang w:val="en-US"/>
        </w:rPr>
      </w:pPr>
      <w:r w:rsidRPr="005E25BA">
        <w:rPr>
          <w:rFonts w:ascii="Arial Bold" w:hAnsi="Arial Bold"/>
          <w:smallCaps/>
          <w:spacing w:val="-3"/>
          <w:sz w:val="22"/>
          <w:lang w:val="en-US"/>
        </w:rPr>
        <w:t>Partners:</w:t>
      </w:r>
    </w:p>
    <w:p w14:paraId="509BF43D" w14:textId="22B2E70A" w:rsidR="00197563" w:rsidRPr="005E25BA" w:rsidRDefault="000C533E" w:rsidP="00197563">
      <w:pPr>
        <w:pStyle w:val="Standard1"/>
        <w:tabs>
          <w:tab w:val="left" w:pos="0"/>
          <w:tab w:val="left" w:pos="317"/>
          <w:tab w:val="left" w:pos="720"/>
        </w:tabs>
        <w:jc w:val="center"/>
        <w:rPr>
          <w:rFonts w:ascii="Arial Bold" w:hAnsi="Arial Bold"/>
          <w:smallCaps/>
          <w:spacing w:val="-3"/>
          <w:sz w:val="22"/>
          <w:lang w:val="en-US"/>
        </w:rPr>
      </w:pPr>
      <w:r w:rsidRPr="005E25BA">
        <w:rPr>
          <w:rFonts w:ascii="Arial Bold" w:hAnsi="Arial Bold"/>
          <w:smallCaps/>
          <w:spacing w:val="-3"/>
          <w:sz w:val="22"/>
          <w:lang w:val="en-US"/>
        </w:rPr>
        <w:t>SIListra Systems GmbH</w:t>
      </w:r>
      <w:r w:rsidR="00197563" w:rsidRPr="005E25BA">
        <w:rPr>
          <w:rFonts w:ascii="Arial Bold" w:hAnsi="Arial Bold"/>
          <w:smallCaps/>
          <w:spacing w:val="-3"/>
          <w:sz w:val="22"/>
          <w:lang w:val="en-US"/>
        </w:rPr>
        <w:t xml:space="preserve">, </w:t>
      </w:r>
      <w:r w:rsidRPr="005E25BA">
        <w:rPr>
          <w:rFonts w:ascii="Arial Bold" w:hAnsi="Arial Bold"/>
          <w:smallCaps/>
          <w:spacing w:val="-3"/>
          <w:sz w:val="22"/>
          <w:lang w:val="en-US"/>
        </w:rPr>
        <w:t>Dr. Martin Süßkraut</w:t>
      </w:r>
    </w:p>
    <w:p w14:paraId="26E80B55" w14:textId="77777777" w:rsidR="00197563" w:rsidRPr="005E25BA" w:rsidRDefault="00197563" w:rsidP="00197563">
      <w:pPr>
        <w:pStyle w:val="Standard1"/>
        <w:tabs>
          <w:tab w:val="left" w:pos="0"/>
          <w:tab w:val="left" w:pos="317"/>
          <w:tab w:val="left" w:pos="720"/>
        </w:tabs>
        <w:jc w:val="center"/>
        <w:rPr>
          <w:rFonts w:ascii="Arial Bold" w:hAnsi="Arial Bold"/>
          <w:smallCaps/>
          <w:spacing w:val="-3"/>
          <w:sz w:val="22"/>
          <w:lang w:val="en-US"/>
        </w:rPr>
      </w:pPr>
      <w:r w:rsidRPr="005E25BA">
        <w:rPr>
          <w:rFonts w:ascii="Arial Bold" w:hAnsi="Arial Bold"/>
          <w:smallCaps/>
          <w:spacing w:val="-3"/>
          <w:sz w:val="22"/>
          <w:lang w:val="en-US"/>
        </w:rPr>
        <w:t>Sync Lab SRL, Italy, Ferdinando Campanile</w:t>
      </w:r>
    </w:p>
    <w:p w14:paraId="60063DBC" w14:textId="372FA573" w:rsidR="00197563" w:rsidRPr="005E25BA" w:rsidRDefault="000C533E" w:rsidP="00197563">
      <w:pPr>
        <w:pStyle w:val="Standard1"/>
        <w:tabs>
          <w:tab w:val="left" w:pos="0"/>
          <w:tab w:val="left" w:pos="317"/>
          <w:tab w:val="left" w:pos="720"/>
        </w:tabs>
        <w:jc w:val="center"/>
        <w:rPr>
          <w:rFonts w:ascii="Arial Bold" w:hAnsi="Arial Bold"/>
          <w:smallCaps/>
          <w:spacing w:val="-3"/>
          <w:sz w:val="22"/>
          <w:lang w:val="en-US"/>
        </w:rPr>
      </w:pPr>
      <w:r w:rsidRPr="005E25BA">
        <w:rPr>
          <w:rFonts w:ascii="Arial Bold" w:hAnsi="Arial Bold"/>
          <w:smallCaps/>
          <w:spacing w:val="-3"/>
          <w:sz w:val="22"/>
          <w:lang w:val="en-US"/>
        </w:rPr>
        <w:t>EXUS</w:t>
      </w:r>
    </w:p>
    <w:p w14:paraId="6A7B4A08" w14:textId="77777777" w:rsidR="00197563" w:rsidRPr="005E25BA"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5E25BA"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5E25BA">
        <w:rPr>
          <w:rFonts w:asciiTheme="minorHAnsi" w:hAnsiTheme="minorHAnsi"/>
          <w:spacing w:val="-3"/>
          <w:sz w:val="22"/>
          <w:lang w:val="en-US"/>
        </w:rPr>
        <w:t>The institutions parties to this Coordination Agreement agree to carry out the coordinated EU Brazil project called “SecureCloud”.</w:t>
      </w:r>
    </w:p>
    <w:p w14:paraId="5C361FD1"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These institutions, detailed in Annex I</w:t>
      </w:r>
      <w:r w:rsidRPr="005E25BA">
        <w:rPr>
          <w:rStyle w:val="Funotenzeichen"/>
          <w:rFonts w:asciiTheme="minorHAnsi" w:hAnsiTheme="minorHAnsi"/>
          <w:spacing w:val="-3"/>
          <w:sz w:val="22"/>
          <w:lang w:val="en-US"/>
        </w:rPr>
        <w:footnoteReference w:id="1"/>
      </w:r>
      <w:r w:rsidRPr="005E25BA">
        <w:rPr>
          <w:rFonts w:asciiTheme="minorHAnsi" w:hAnsiTheme="minorHAnsi"/>
          <w:spacing w:val="-3"/>
          <w:sz w:val="22"/>
          <w:lang w:val="en-US"/>
        </w:rPr>
        <w:t>, are hereinafter collectively referred “Brazilian partners” or respectively as “EU partners”; the Coordination Agreement as the “Agreement”; and the research on secure and dependable big-data cloud computing as the “research activity”.</w:t>
      </w:r>
    </w:p>
    <w:p w14:paraId="091257AD"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In order to support scientific collaboration and research cooperation, the European Union and the Federative Republic of Brazil entered into an international agreement entitled “Agreement for Scientific and Technological Cooperation between the European Community and the Federative Republic of Brazil” dated November 11, 2005 (hereinafter referred to as the EC-Brazil Agreement).</w:t>
      </w:r>
    </w:p>
    <w:p w14:paraId="453DDF70"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5E25BA">
        <w:rPr>
          <w:rFonts w:asciiTheme="minorHAnsi" w:hAnsiTheme="minorHAnsi"/>
          <w:b/>
          <w:spacing w:val="-3"/>
          <w:sz w:val="22"/>
          <w:lang w:val="en-US"/>
        </w:rPr>
        <w:t>Article 1: Scope</w:t>
      </w:r>
    </w:p>
    <w:p w14:paraId="709F2C49" w14:textId="01C9230E"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The partners shall jointly carry out the research activity as set out in the Description of Action (Annex II</w:t>
      </w:r>
      <w:r w:rsidRPr="005E25BA">
        <w:rPr>
          <w:rStyle w:val="Funotenzeichen"/>
          <w:rFonts w:asciiTheme="minorHAnsi" w:hAnsiTheme="minorHAnsi"/>
          <w:spacing w:val="-3"/>
          <w:sz w:val="22"/>
          <w:lang w:val="en-US"/>
        </w:rPr>
        <w:footnoteReference w:id="2"/>
      </w:r>
      <w:r w:rsidRPr="005E25BA">
        <w:rPr>
          <w:rFonts w:asciiTheme="minorHAnsi" w:hAnsiTheme="minorHAnsi"/>
          <w:spacing w:val="-3"/>
          <w:sz w:val="22"/>
          <w:lang w:val="en-US"/>
        </w:rPr>
        <w:t>), which forms an integral part of this agreement.</w:t>
      </w:r>
    </w:p>
    <w:p w14:paraId="4266A42E" w14:textId="77777777" w:rsidR="00197563" w:rsidRPr="005E25BA" w:rsidRDefault="00197563" w:rsidP="00197563">
      <w:pPr>
        <w:pStyle w:val="Standard1"/>
        <w:tabs>
          <w:tab w:val="left" w:pos="0"/>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5E25BA" w:rsidRDefault="00197563" w:rsidP="00197563">
      <w:pPr>
        <w:pStyle w:val="Standard1"/>
        <w:tabs>
          <w:tab w:val="left" w:pos="0"/>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5E25BA"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5E25BA">
        <w:rPr>
          <w:rFonts w:asciiTheme="minorHAnsi" w:hAnsiTheme="minorHAnsi"/>
          <w:b/>
          <w:spacing w:val="-3"/>
          <w:sz w:val="22"/>
          <w:lang w:val="en-US"/>
        </w:rPr>
        <w:t>Article 2: Duration</w:t>
      </w:r>
    </w:p>
    <w:p w14:paraId="1B751752"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 xml:space="preserve">This agreement shall cover a period of 36 months. The starting date is the same as the starting date of the joint EU-BRA proposal SecureCloud. </w:t>
      </w:r>
    </w:p>
    <w:p w14:paraId="54356845"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A partner may withdraw from this agreement without any liability towards the other parties following consultation with its funding agency, by giving two months notice to the other partners.</w:t>
      </w:r>
    </w:p>
    <w:p w14:paraId="0727F152"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lastRenderedPageBreak/>
        <w:t>For the avoidance of doubt the validity of this agreement is dependent on a positive funding decision.</w:t>
      </w:r>
    </w:p>
    <w:p w14:paraId="11C032DD" w14:textId="77777777" w:rsidR="00197563" w:rsidRPr="005E25BA"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5E25BA">
        <w:rPr>
          <w:rFonts w:asciiTheme="minorHAnsi" w:hAnsiTheme="minorHAnsi"/>
          <w:spacing w:val="-3"/>
          <w:sz w:val="22"/>
          <w:lang w:val="en-US"/>
        </w:rPr>
        <w:t xml:space="preserve">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w:t>
      </w:r>
      <w:proofErr w:type="gramStart"/>
      <w:r w:rsidRPr="005E25BA">
        <w:rPr>
          <w:rFonts w:asciiTheme="minorHAnsi" w:hAnsiTheme="minorHAnsi"/>
          <w:spacing w:val="-3"/>
          <w:sz w:val="22"/>
          <w:lang w:val="en-US"/>
        </w:rPr>
        <w:t>months</w:t>
      </w:r>
      <w:proofErr w:type="gramEnd"/>
      <w:r w:rsidRPr="005E25BA">
        <w:rPr>
          <w:rFonts w:asciiTheme="minorHAnsi" w:hAnsiTheme="minorHAnsi"/>
          <w:spacing w:val="-3"/>
          <w:sz w:val="22"/>
          <w:lang w:val="en-US"/>
        </w:rPr>
        <w:t xml:space="preserve"> written notice to such individual partner.</w:t>
      </w:r>
    </w:p>
    <w:p w14:paraId="6AC2F837" w14:textId="77777777" w:rsidR="00197563" w:rsidRPr="005E25BA"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5E25BA">
        <w:rPr>
          <w:rFonts w:asciiTheme="minorHAnsi" w:hAnsiTheme="minorHAnsi"/>
          <w:b/>
          <w:spacing w:val="-3"/>
          <w:sz w:val="22"/>
          <w:lang w:val="en-US"/>
        </w:rPr>
        <w:t>Article 3: Financial provisions</w:t>
      </w:r>
    </w:p>
    <w:p w14:paraId="64ADA06F" w14:textId="77777777" w:rsidR="00197563" w:rsidRPr="005E25BA" w:rsidRDefault="00197563" w:rsidP="00197563">
      <w:pPr>
        <w:pStyle w:val="Standard1"/>
        <w:numPr>
          <w:ilvl w:val="1"/>
          <w:numId w:val="16"/>
        </w:numPr>
        <w:spacing w:before="160"/>
        <w:ind w:hanging="720"/>
        <w:jc w:val="both"/>
        <w:rPr>
          <w:rFonts w:asciiTheme="minorHAnsi" w:hAnsiTheme="minorHAnsi"/>
          <w:sz w:val="22"/>
          <w:lang w:val="en-US"/>
        </w:rPr>
      </w:pPr>
      <w:r w:rsidRPr="005E25BA">
        <w:rPr>
          <w:rFonts w:asciiTheme="minorHAnsi" w:hAnsiTheme="minorHAnsi"/>
          <w:sz w:val="22"/>
          <w:lang w:val="en-US"/>
        </w:rPr>
        <w:t>Each party shall bear its own costs incurred in connection with the performance of the Contract with its grant agency and this Coordination Agreement, carrying out and implementation of this research activity.</w:t>
      </w:r>
      <w:r w:rsidRPr="005E25BA">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5E25BA" w:rsidRDefault="00197563" w:rsidP="00197563">
      <w:pPr>
        <w:pStyle w:val="Standard1"/>
        <w:numPr>
          <w:ilvl w:val="1"/>
          <w:numId w:val="16"/>
        </w:numPr>
        <w:spacing w:before="160"/>
        <w:ind w:hanging="720"/>
        <w:jc w:val="both"/>
        <w:rPr>
          <w:rFonts w:asciiTheme="minorHAnsi" w:hAnsiTheme="minorHAnsi"/>
          <w:sz w:val="22"/>
          <w:lang w:val="en-US"/>
        </w:rPr>
      </w:pPr>
      <w:r w:rsidRPr="005E25BA">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5E25BA" w:rsidRDefault="00197563" w:rsidP="00197563">
      <w:pPr>
        <w:pStyle w:val="Standard1"/>
        <w:spacing w:before="240"/>
        <w:jc w:val="both"/>
        <w:rPr>
          <w:rFonts w:asciiTheme="minorHAnsi" w:hAnsiTheme="minorHAnsi"/>
          <w:b/>
          <w:sz w:val="22"/>
          <w:lang w:val="en-US"/>
        </w:rPr>
      </w:pPr>
      <w:r w:rsidRPr="005E25BA">
        <w:rPr>
          <w:rFonts w:asciiTheme="minorHAnsi" w:hAnsiTheme="minorHAnsi"/>
          <w:b/>
          <w:sz w:val="22"/>
          <w:lang w:val="en-US"/>
        </w:rPr>
        <w:t>Article 4: Management of the Coordination</w:t>
      </w:r>
    </w:p>
    <w:p w14:paraId="24D4517C" w14:textId="77777777" w:rsidR="00197563" w:rsidRPr="005E25BA" w:rsidRDefault="00197563" w:rsidP="00197563">
      <w:pPr>
        <w:pStyle w:val="Standard1"/>
        <w:spacing w:before="160"/>
        <w:jc w:val="both"/>
        <w:rPr>
          <w:rFonts w:asciiTheme="minorHAnsi" w:hAnsiTheme="minorHAnsi"/>
          <w:sz w:val="22"/>
          <w:lang w:val="en-US"/>
        </w:rPr>
      </w:pPr>
      <w:r w:rsidRPr="005E25BA">
        <w:rPr>
          <w:rFonts w:asciiTheme="minorHAnsi" w:hAnsiTheme="minorHAnsi"/>
          <w:sz w:val="22"/>
          <w:lang w:val="en-US"/>
        </w:rPr>
        <w:t>4.1</w:t>
      </w:r>
      <w:r w:rsidRPr="005E25BA">
        <w:rPr>
          <w:rFonts w:asciiTheme="minorHAnsi" w:hAnsiTheme="minorHAnsi"/>
          <w:sz w:val="22"/>
          <w:lang w:val="en-US"/>
        </w:rPr>
        <w:tab/>
        <w:t>Overall Management</w:t>
      </w:r>
    </w:p>
    <w:p w14:paraId="347ABE2C" w14:textId="77777777" w:rsidR="00197563" w:rsidRPr="005E25BA" w:rsidRDefault="00197563" w:rsidP="00197563">
      <w:pPr>
        <w:pStyle w:val="Standard1"/>
        <w:spacing w:before="160"/>
        <w:jc w:val="both"/>
        <w:rPr>
          <w:rFonts w:asciiTheme="minorHAnsi" w:hAnsiTheme="minorHAnsi"/>
          <w:sz w:val="22"/>
          <w:lang w:val="en-US"/>
        </w:rPr>
      </w:pPr>
      <w:r w:rsidRPr="005E25BA">
        <w:rPr>
          <w:rFonts w:asciiTheme="minorHAnsi" w:hAnsiTheme="minorHAnsi"/>
          <w:sz w:val="22"/>
          <w:lang w:val="en-US"/>
        </w:rPr>
        <w:t>The partners will assure effective overall management of the research activity through:</w:t>
      </w:r>
    </w:p>
    <w:p w14:paraId="64FBC3FF" w14:textId="77777777" w:rsidR="00197563" w:rsidRPr="005E25BA"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5E25BA">
        <w:rPr>
          <w:rFonts w:asciiTheme="minorHAnsi" w:hAnsiTheme="minorHAnsi"/>
          <w:sz w:val="22"/>
          <w:lang w:val="en-US"/>
        </w:rPr>
        <w:t>communication among themselves and with their respective funding agencies;</w:t>
      </w:r>
    </w:p>
    <w:p w14:paraId="299B0D77" w14:textId="77777777" w:rsidR="00197563" w:rsidRPr="005E25BA"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5E25BA">
        <w:rPr>
          <w:rFonts w:asciiTheme="minorHAnsi" w:hAnsiTheme="minorHAnsi"/>
          <w:sz w:val="22"/>
          <w:lang w:val="en-US"/>
        </w:rPr>
        <w:t>timely production of deliverables as set out in Annex II; and</w:t>
      </w:r>
    </w:p>
    <w:p w14:paraId="3C60636D" w14:textId="77777777" w:rsidR="00197563" w:rsidRPr="005E25BA"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5E25BA">
        <w:rPr>
          <w:rFonts w:asciiTheme="minorHAnsi" w:hAnsiTheme="minorHAnsi"/>
          <w:sz w:val="22"/>
          <w:lang w:val="en-US"/>
        </w:rPr>
        <w:t>integration of their work.</w:t>
      </w:r>
    </w:p>
    <w:p w14:paraId="34BBE7C9"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z w:val="22"/>
          <w:lang w:val="en-US"/>
        </w:rPr>
      </w:pPr>
      <w:r w:rsidRPr="005E25BA">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5E25BA" w:rsidRDefault="00197563" w:rsidP="00197563">
      <w:pPr>
        <w:pStyle w:val="Standard1"/>
        <w:widowControl/>
        <w:suppressAutoHyphens w:val="0"/>
        <w:spacing w:before="160"/>
        <w:jc w:val="both"/>
        <w:rPr>
          <w:rFonts w:asciiTheme="minorHAnsi" w:hAnsiTheme="minorHAnsi"/>
          <w:sz w:val="22"/>
          <w:lang w:val="en-US"/>
        </w:rPr>
      </w:pPr>
      <w:r w:rsidRPr="005E25BA">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frequent progress meetings (ranging from once a month to once per quarter), preferably via electronic means;</w:t>
      </w:r>
    </w:p>
    <w:p w14:paraId="4B2A63A6" w14:textId="4F7CF484"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frequent technical and financial progress reports (actions completed and results obtained);</w:t>
      </w:r>
    </w:p>
    <w:p w14:paraId="343DC048" w14:textId="07BD59BB"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z w:val="22"/>
          <w:lang w:val="en-US"/>
        </w:rPr>
      </w:pPr>
      <w:r w:rsidRPr="005E25BA">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5E25BA">
        <w:rPr>
          <w:rFonts w:asciiTheme="minorHAnsi" w:hAnsiTheme="minorHAnsi"/>
          <w:b/>
          <w:sz w:val="22"/>
          <w:lang w:val="en-US"/>
        </w:rPr>
        <w:t>Article 5: Publications</w:t>
      </w:r>
    </w:p>
    <w:p w14:paraId="55123218"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z w:val="22"/>
          <w:lang w:val="en-US"/>
        </w:rPr>
      </w:pPr>
      <w:r w:rsidRPr="005E25BA">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z w:val="22"/>
          <w:lang w:val="en-US"/>
        </w:rPr>
      </w:pPr>
      <w:r w:rsidRPr="005E25BA">
        <w:rPr>
          <w:rFonts w:asciiTheme="minorHAnsi" w:hAnsiTheme="minorHAnsi"/>
          <w:sz w:val="22"/>
          <w:lang w:val="en-US"/>
        </w:rPr>
        <w:t xml:space="preserve">Each partner shall, subject to the confidentiality provisions of Article 6, have the right to make public </w:t>
      </w:r>
      <w:r w:rsidRPr="005E25BA">
        <w:rPr>
          <w:rFonts w:asciiTheme="minorHAnsi" w:hAnsiTheme="minorHAnsi"/>
          <w:sz w:val="22"/>
          <w:lang w:val="en-US"/>
        </w:rPr>
        <w:lastRenderedPageBreak/>
        <w:t>the knowledge and information it generates under this agreement, consistent with good scientific practices, within the laws and regulations of the country within which the partner resides.</w:t>
      </w:r>
    </w:p>
    <w:p w14:paraId="50B8F8CF"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Article 6: Confidentiality</w:t>
      </w:r>
    </w:p>
    <w:p w14:paraId="76A45E35" w14:textId="77777777" w:rsidR="00197563" w:rsidRPr="005E25BA"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5E25BA">
        <w:rPr>
          <w:rFonts w:asciiTheme="minorHAnsi" w:hAnsiTheme="minorHAnsi"/>
          <w:spacing w:val="-3"/>
          <w:sz w:val="22"/>
          <w:lang w:val="en-US"/>
        </w:rPr>
        <w:t>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disclosed verbally, confidential information must be reduced to writing within thirty (30) days.</w:t>
      </w:r>
    </w:p>
    <w:p w14:paraId="2BCF04E6" w14:textId="77777777" w:rsidR="00197563" w:rsidRPr="005E25BA" w:rsidRDefault="00197563" w:rsidP="00197563">
      <w:pPr>
        <w:pStyle w:val="Textkrper-Zeileneinzug1"/>
        <w:spacing w:before="160"/>
        <w:ind w:left="0"/>
        <w:jc w:val="both"/>
        <w:rPr>
          <w:rFonts w:asciiTheme="minorHAnsi" w:hAnsiTheme="minorHAnsi"/>
          <w:sz w:val="22"/>
        </w:rPr>
      </w:pPr>
      <w:r w:rsidRPr="005E25BA">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5E25BA" w:rsidRDefault="00197563" w:rsidP="00197563">
      <w:pPr>
        <w:pStyle w:val="Textkrper-Zeileneinzug1"/>
        <w:spacing w:before="160"/>
        <w:ind w:left="0"/>
        <w:jc w:val="both"/>
        <w:rPr>
          <w:rFonts w:asciiTheme="minorHAnsi" w:hAnsiTheme="minorHAnsi"/>
          <w:sz w:val="22"/>
        </w:rPr>
      </w:pPr>
      <w:r w:rsidRPr="005E25BA">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5E25BA" w:rsidRDefault="00197563" w:rsidP="00197563">
      <w:pPr>
        <w:pStyle w:val="Textkrper-Zeileneinzug1"/>
        <w:spacing w:before="160"/>
        <w:ind w:left="0"/>
        <w:jc w:val="both"/>
        <w:rPr>
          <w:rFonts w:asciiTheme="minorHAnsi" w:hAnsiTheme="minorHAnsi"/>
          <w:sz w:val="22"/>
        </w:rPr>
      </w:pPr>
      <w:r w:rsidRPr="005E25BA">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5E25BA" w:rsidRDefault="00197563" w:rsidP="00197563">
      <w:pPr>
        <w:pStyle w:val="Textkrper-Zeileneinzug1"/>
        <w:spacing w:before="160"/>
        <w:ind w:left="0"/>
        <w:jc w:val="both"/>
        <w:rPr>
          <w:rFonts w:asciiTheme="minorHAnsi" w:hAnsiTheme="minorHAnsi"/>
          <w:sz w:val="22"/>
        </w:rPr>
      </w:pPr>
      <w:r w:rsidRPr="005E25BA">
        <w:rPr>
          <w:rFonts w:asciiTheme="minorHAnsi" w:hAnsiTheme="minorHAnsi"/>
          <w:sz w:val="22"/>
        </w:rPr>
        <w:t>The provisions of this Article shall survive the expiration or termination of this Agreement for one year.</w:t>
      </w:r>
    </w:p>
    <w:p w14:paraId="2D9BD595"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Article 7: Intellectual Property</w:t>
      </w:r>
    </w:p>
    <w:p w14:paraId="74C16318"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Intellectual property first developed in the performance of the research activity shall be governed by Annex I of the EC-Brazil Agreement, with the following clarification: all rights to intellectual property made solely by employees of one partner will belong solely to that partner and shall be disposed of in accordance with that partner’s policies and Annex I of the EC-Brazil Agreement.  Rights to intellectual property developed by staff of two or more partners shall be held jointly by such partners.</w:t>
      </w:r>
    </w:p>
    <w:p w14:paraId="3A03783F"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p>
    <w:p w14:paraId="3228CB59" w14:textId="77777777" w:rsidR="00197563" w:rsidRPr="005E25BA" w:rsidRDefault="00197563" w:rsidP="00197563">
      <w:pPr>
        <w:pStyle w:val="Standard1"/>
        <w:widowControl/>
        <w:suppressAutoHyphens w:val="0"/>
        <w:spacing w:before="160"/>
        <w:jc w:val="both"/>
        <w:rPr>
          <w:rFonts w:asciiTheme="minorHAnsi" w:hAnsiTheme="minorHAnsi"/>
          <w:sz w:val="22"/>
          <w:lang w:val="en-US"/>
        </w:rPr>
      </w:pPr>
      <w:r w:rsidRPr="005E25BA">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5E25BA"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5E25BA">
        <w:rPr>
          <w:rFonts w:asciiTheme="minorHAnsi" w:hAnsiTheme="minorHAnsi"/>
          <w:sz w:val="22"/>
          <w:lang w:val="en-US"/>
        </w:rPr>
        <w:lastRenderedPageBreak/>
        <w:t>to set up a regime for use (including licensing) by the joint owners, within for example specified limits and possible profit sharing.</w:t>
      </w:r>
    </w:p>
    <w:p w14:paraId="4B601C38" w14:textId="62256378" w:rsidR="00197563" w:rsidRPr="005E25BA" w:rsidRDefault="00197563" w:rsidP="00197563">
      <w:pPr>
        <w:pStyle w:val="Standard1"/>
        <w:widowControl/>
        <w:suppressAutoHyphens w:val="0"/>
        <w:spacing w:before="160"/>
        <w:jc w:val="both"/>
        <w:rPr>
          <w:rFonts w:asciiTheme="minorHAnsi" w:hAnsiTheme="minorHAnsi"/>
          <w:sz w:val="22"/>
          <w:lang w:val="en-US"/>
        </w:rPr>
      </w:pPr>
      <w:r w:rsidRPr="005E25BA">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5E25BA" w:rsidRDefault="00197563" w:rsidP="00197563">
      <w:pPr>
        <w:pStyle w:val="Standard1"/>
        <w:widowControl/>
        <w:suppressAutoHyphens w:val="0"/>
        <w:spacing w:before="160"/>
        <w:jc w:val="both"/>
        <w:rPr>
          <w:rFonts w:asciiTheme="minorHAnsi" w:hAnsiTheme="minorHAnsi"/>
          <w:spacing w:val="-3"/>
          <w:sz w:val="22"/>
          <w:lang w:val="en-US"/>
        </w:rPr>
      </w:pPr>
      <w:r w:rsidRPr="005E25BA">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 xml:space="preserve">Article 8: Handling and Use of Data </w:t>
      </w:r>
    </w:p>
    <w:p w14:paraId="595AA956" w14:textId="77777777" w:rsidR="00197563" w:rsidRPr="005E25BA"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5E25BA">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5E25BA">
        <w:rPr>
          <w:rFonts w:asciiTheme="minorHAnsi" w:hAnsiTheme="minorHAnsi"/>
          <w:b/>
          <w:spacing w:val="-3"/>
          <w:sz w:val="22"/>
          <w:lang w:val="en-US"/>
        </w:rPr>
        <w:t xml:space="preserve">Article 9: </w:t>
      </w:r>
      <w:r w:rsidRPr="005E25BA">
        <w:rPr>
          <w:rFonts w:asciiTheme="minorHAnsi" w:hAnsiTheme="minorHAnsi"/>
          <w:b/>
          <w:sz w:val="22"/>
          <w:lang w:val="en-US"/>
        </w:rPr>
        <w:t>No Legal Formation</w:t>
      </w:r>
    </w:p>
    <w:p w14:paraId="32CD7B49" w14:textId="77777777" w:rsidR="00197563" w:rsidRPr="005E25BA"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5E25BA">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Article 10: Dispute Resolution</w:t>
      </w:r>
    </w:p>
    <w:p w14:paraId="17BB0283"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10.1. Disputes between Brazilian and EU partners</w:t>
      </w:r>
    </w:p>
    <w:p w14:paraId="7281536E"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In case of a dispute arising out of or in connection with this agreement between one or more Brazilian partners on the one hand, and one or more EU partners on the other, the partners shall use their best endeavors to settle the dispute amicably.</w:t>
      </w:r>
    </w:p>
    <w:p w14:paraId="24CB8AF4"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Any such dispute, which cannot be solved through such endeavors, should be brought to the attention of the funding agencies, which will be invited to take action as necessary to resolve the dispute. Such action should be based on hearing all parties and applying the rules of the individual grants/contracts, the Brazil-EU Agreement, and this Coordination Agreement. Upon mutual agreement of the funding agencies, the partners may agree to submit the dispute to an arbitral tribunal for binding arbitration. Unless the partners agree otherwise in writing, the arbitration rules of United Nations Commission on International Trade Law (UNCITRAL) would govern.</w:t>
      </w:r>
    </w:p>
    <w:p w14:paraId="6E7D9381"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10.2. Other disputes</w:t>
      </w:r>
    </w:p>
    <w:p w14:paraId="610AFDB5"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In case of a dispute between partners other than those referred to in Article 10.1 arising out of or in connection with this agreement, the partners shall use their best endeavors to settle the dispute amicably.</w:t>
      </w:r>
    </w:p>
    <w:p w14:paraId="79678E9F"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Any such dispute, which cannot be solved through such endeavors, should be brought to the attention of the competent funding agency, which will be invited to take action as appropriate to resolve the dispute. The partners shall assure that the funding agency is provided with all information necessary to resolve the dispute.</w:t>
      </w:r>
    </w:p>
    <w:p w14:paraId="23D89F35"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Article 11: Liability Limitations</w:t>
      </w:r>
    </w:p>
    <w:p w14:paraId="395DB5BB"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 xml:space="preserve">Each partner shall be liable towards the other partners in respect of negligent acts or omissions of itself </w:t>
      </w:r>
      <w:r w:rsidRPr="005E25BA">
        <w:rPr>
          <w:rFonts w:asciiTheme="minorHAnsi" w:hAnsiTheme="minorHAnsi"/>
          <w:spacing w:val="-3"/>
          <w:sz w:val="22"/>
          <w:lang w:val="en-US"/>
        </w:rPr>
        <w:lastRenderedPageBreak/>
        <w:t xml:space="preserve">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5E25BA"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5E25BA">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 xml:space="preserve">Article 12: Amendment </w:t>
      </w:r>
    </w:p>
    <w:p w14:paraId="189AC911" w14:textId="77777777" w:rsidR="00197563" w:rsidRPr="005E25BA" w:rsidRDefault="00197563" w:rsidP="00197563">
      <w:pPr>
        <w:pStyle w:val="Standard1"/>
        <w:widowControl/>
        <w:suppressAutoHyphens w:val="0"/>
        <w:spacing w:before="160"/>
        <w:jc w:val="both"/>
        <w:rPr>
          <w:rFonts w:asciiTheme="minorHAnsi" w:hAnsiTheme="minorHAnsi"/>
          <w:sz w:val="22"/>
          <w:lang w:val="en-US"/>
        </w:rPr>
      </w:pPr>
      <w:r w:rsidRPr="005E25BA">
        <w:rPr>
          <w:rFonts w:asciiTheme="minorHAnsi" w:hAnsiTheme="minorHAnsi"/>
          <w:spacing w:val="-3"/>
          <w:sz w:val="22"/>
          <w:lang w:val="en-US"/>
        </w:rPr>
        <w:t xml:space="preserve">This Agreement may only be amended in writing and signed by authorized representatives of each of the partners. This may cover situations </w:t>
      </w:r>
      <w:r w:rsidRPr="005E25BA">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5E25BA"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5E25BA">
        <w:rPr>
          <w:rFonts w:asciiTheme="minorHAnsi" w:hAnsiTheme="minorHAnsi"/>
          <w:b/>
          <w:spacing w:val="-3"/>
          <w:sz w:val="22"/>
          <w:lang w:val="en-US"/>
        </w:rPr>
        <w:t>Article 13: Miscellaneous</w:t>
      </w:r>
    </w:p>
    <w:p w14:paraId="18FAFB79" w14:textId="77777777" w:rsidR="00197563" w:rsidRPr="005E25BA" w:rsidRDefault="00197563" w:rsidP="00197563">
      <w:pPr>
        <w:pStyle w:val="Standard1"/>
        <w:spacing w:before="160"/>
        <w:jc w:val="both"/>
        <w:rPr>
          <w:rFonts w:asciiTheme="minorHAnsi" w:hAnsiTheme="minorHAnsi"/>
          <w:spacing w:val="-3"/>
          <w:sz w:val="22"/>
          <w:lang w:val="en-US"/>
        </w:rPr>
      </w:pPr>
      <w:r w:rsidRPr="005E25BA">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5E25BA"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5E25BA">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5E25BA"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5E25BA">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5E25BA"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5E25BA">
        <w:rPr>
          <w:rFonts w:asciiTheme="minorHAnsi" w:hAnsiTheme="minorHAnsi" w:cs="Arial"/>
          <w:b/>
          <w:spacing w:val="-3"/>
          <w:sz w:val="22"/>
          <w:lang w:val="en-US"/>
        </w:rPr>
        <w:t>Article 14: Number of copies, languages and signature process</w:t>
      </w:r>
    </w:p>
    <w:p w14:paraId="042A11CD" w14:textId="77777777" w:rsidR="00197563" w:rsidRPr="005E25BA" w:rsidRDefault="00197563" w:rsidP="00197563">
      <w:pPr>
        <w:pStyle w:val="StandardText"/>
        <w:spacing w:before="160"/>
        <w:jc w:val="both"/>
        <w:rPr>
          <w:rFonts w:asciiTheme="minorHAnsi" w:hAnsiTheme="minorHAnsi" w:cs="Arial"/>
          <w:sz w:val="22"/>
          <w:szCs w:val="22"/>
          <w:lang w:val="en-US"/>
        </w:rPr>
      </w:pPr>
      <w:r w:rsidRPr="005E25BA">
        <w:rPr>
          <w:rFonts w:asciiTheme="minorHAnsi" w:hAnsiTheme="minorHAnsi" w:cs="Arial"/>
          <w:sz w:val="22"/>
          <w:szCs w:val="22"/>
          <w:lang w:val="en-US"/>
        </w:rPr>
        <w:t xml:space="preserve">The Parties have caused this Coordination Agreement to be duly signed by the undersigned authorised representatives in separate signature pages the day and year first above written. </w:t>
      </w:r>
    </w:p>
    <w:p w14:paraId="6CFAA4A1" w14:textId="77777777" w:rsidR="00197563" w:rsidRPr="005E25BA"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5E25BA">
        <w:rPr>
          <w:rFonts w:asciiTheme="minorHAnsi" w:hAnsiTheme="minorHAnsi" w:cs="Arial"/>
          <w:b/>
          <w:spacing w:val="-3"/>
          <w:sz w:val="22"/>
          <w:szCs w:val="22"/>
          <w:lang w:val="en-US"/>
        </w:rPr>
        <w:t>Article 15: Applicable law &amp; Settlement of disputes</w:t>
      </w:r>
    </w:p>
    <w:p w14:paraId="668AAEC5" w14:textId="77777777" w:rsidR="00197563" w:rsidRPr="005E25BA" w:rsidRDefault="00197563" w:rsidP="00197563">
      <w:pPr>
        <w:pStyle w:val="StandardText"/>
        <w:spacing w:before="160"/>
        <w:jc w:val="both"/>
        <w:rPr>
          <w:rFonts w:asciiTheme="minorHAnsi" w:hAnsiTheme="minorHAnsi" w:cs="Arial"/>
          <w:sz w:val="22"/>
          <w:szCs w:val="22"/>
          <w:lang w:val="en-US"/>
        </w:rPr>
      </w:pPr>
      <w:r w:rsidRPr="005E25BA">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Authorized to sign on behalf of:</w:t>
      </w:r>
    </w:p>
    <w:p w14:paraId="2D97B040"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w:t>
      </w:r>
      <w:r w:rsidR="00AA7A77" w:rsidRPr="005E25BA">
        <w:rPr>
          <w:rFonts w:asciiTheme="minorHAnsi" w:hAnsiTheme="minorHAnsi"/>
          <w:spacing w:val="-3"/>
          <w:sz w:val="22"/>
          <w:lang w:val="en-US"/>
        </w:rPr>
        <w:t>……………………</w:t>
      </w:r>
      <w:r w:rsidRPr="005E25BA">
        <w:rPr>
          <w:rFonts w:asciiTheme="minorHAnsi" w:hAnsiTheme="minorHAnsi"/>
          <w:spacing w:val="-3"/>
          <w:sz w:val="22"/>
          <w:lang w:val="en-US"/>
        </w:rPr>
        <w:t>….</w:t>
      </w:r>
    </w:p>
    <w:p w14:paraId="5CE4851C"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Name: …………………………………</w:t>
      </w:r>
      <w:r w:rsidRPr="005E25BA">
        <w:rPr>
          <w:rFonts w:asciiTheme="minorHAnsi" w:hAnsiTheme="minorHAnsi"/>
          <w:spacing w:val="-3"/>
          <w:sz w:val="22"/>
          <w:lang w:val="en-US"/>
        </w:rPr>
        <w:tab/>
      </w:r>
      <w:r w:rsidRPr="005E25BA">
        <w:rPr>
          <w:rFonts w:asciiTheme="minorHAnsi" w:hAnsiTheme="minorHAnsi"/>
          <w:spacing w:val="-3"/>
          <w:sz w:val="22"/>
          <w:lang w:val="en-US"/>
        </w:rPr>
        <w:tab/>
        <w:t>Signature ………………………………………</w:t>
      </w:r>
    </w:p>
    <w:p w14:paraId="1CEA1B87"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Title    …………………………………</w:t>
      </w:r>
      <w:r w:rsidRPr="005E25BA">
        <w:rPr>
          <w:rFonts w:asciiTheme="minorHAnsi" w:hAnsiTheme="minorHAnsi"/>
          <w:spacing w:val="-3"/>
          <w:sz w:val="22"/>
          <w:lang w:val="en-US"/>
        </w:rPr>
        <w:tab/>
      </w:r>
      <w:r w:rsidRPr="005E25BA">
        <w:rPr>
          <w:rFonts w:asciiTheme="minorHAnsi" w:hAnsiTheme="minorHAnsi"/>
          <w:spacing w:val="-3"/>
          <w:sz w:val="22"/>
          <w:lang w:val="en-US"/>
        </w:rPr>
        <w:tab/>
        <w:t>Date          ………………………………………</w:t>
      </w:r>
    </w:p>
    <w:p w14:paraId="44FDC7BF"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Name: …………………………………</w:t>
      </w:r>
      <w:r w:rsidRPr="005E25BA">
        <w:rPr>
          <w:rFonts w:asciiTheme="minorHAnsi" w:hAnsiTheme="minorHAnsi"/>
          <w:spacing w:val="-3"/>
          <w:sz w:val="22"/>
          <w:lang w:val="en-US"/>
        </w:rPr>
        <w:tab/>
      </w:r>
      <w:r w:rsidRPr="005E25BA">
        <w:rPr>
          <w:rFonts w:asciiTheme="minorHAnsi" w:hAnsiTheme="minorHAnsi"/>
          <w:spacing w:val="-3"/>
          <w:sz w:val="22"/>
          <w:lang w:val="en-US"/>
        </w:rPr>
        <w:tab/>
        <w:t>Signature ………………………………………</w:t>
      </w:r>
    </w:p>
    <w:p w14:paraId="61DEF18E"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r w:rsidRPr="005E25BA">
        <w:rPr>
          <w:rFonts w:asciiTheme="minorHAnsi" w:hAnsiTheme="minorHAnsi"/>
          <w:spacing w:val="-3"/>
          <w:sz w:val="22"/>
          <w:lang w:val="en-US"/>
        </w:rPr>
        <w:t>Title    …………………………………</w:t>
      </w:r>
      <w:r w:rsidRPr="005E25BA">
        <w:rPr>
          <w:rFonts w:asciiTheme="minorHAnsi" w:hAnsiTheme="minorHAnsi"/>
          <w:spacing w:val="-3"/>
          <w:sz w:val="22"/>
          <w:lang w:val="en-US"/>
        </w:rPr>
        <w:tab/>
      </w:r>
      <w:r w:rsidRPr="005E25BA">
        <w:rPr>
          <w:rFonts w:asciiTheme="minorHAnsi" w:hAnsiTheme="minorHAnsi"/>
          <w:spacing w:val="-3"/>
          <w:sz w:val="22"/>
          <w:lang w:val="en-US"/>
        </w:rPr>
        <w:tab/>
        <w:t>Date          ………………………………………</w:t>
      </w:r>
    </w:p>
    <w:p w14:paraId="5107621F" w14:textId="77777777" w:rsidR="00197563" w:rsidRPr="005E25BA"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5E25BA" w:rsidRDefault="00197563" w:rsidP="00197563">
      <w:pPr>
        <w:pStyle w:val="FreeForm"/>
        <w:rPr>
          <w:rFonts w:asciiTheme="minorHAnsi" w:hAnsiTheme="minorHAnsi"/>
          <w:spacing w:val="-3"/>
          <w:sz w:val="22"/>
        </w:rPr>
      </w:pPr>
    </w:p>
    <w:p w14:paraId="7B6F17A5" w14:textId="77777777" w:rsidR="00197563" w:rsidRPr="005E25BA" w:rsidRDefault="00197563" w:rsidP="00197563">
      <w:pPr>
        <w:pStyle w:val="H2020Standard"/>
        <w:rPr>
          <w:lang w:val="en-US"/>
        </w:rPr>
        <w:sectPr w:rsidR="00197563" w:rsidRPr="005E25BA" w:rsidSect="00197563">
          <w:headerReference w:type="default" r:id="rId14"/>
          <w:pgSz w:w="11906" w:h="16838"/>
          <w:pgMar w:top="1417" w:right="1417" w:bottom="1134" w:left="1417" w:header="1191" w:footer="850" w:gutter="0"/>
          <w:cols w:space="708"/>
          <w:docGrid w:linePitch="360"/>
        </w:sectPr>
      </w:pPr>
    </w:p>
    <w:p w14:paraId="25FACF8F" w14:textId="6F7B3F35" w:rsidR="00197563" w:rsidRPr="005E25BA" w:rsidRDefault="00197563" w:rsidP="00197563">
      <w:pPr>
        <w:pStyle w:val="berschrift1"/>
        <w:spacing w:before="240" w:after="240" w:line="240" w:lineRule="auto"/>
        <w:rPr>
          <w:lang w:val="en-US"/>
        </w:rPr>
      </w:pPr>
      <w:bookmarkStart w:id="32" w:name="_Toc464741874"/>
      <w:r w:rsidRPr="005E25BA">
        <w:rPr>
          <w:lang w:val="en-US"/>
        </w:rPr>
        <w:lastRenderedPageBreak/>
        <w:t>References</w:t>
      </w:r>
      <w:bookmarkEnd w:id="32"/>
    </w:p>
    <w:p w14:paraId="744B150C"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Trusted Computing Base. http://www.trustedcomputinggroup.org/.</w:t>
      </w:r>
    </w:p>
    <w:p w14:paraId="7F73707C"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Craig Gentry. “Computing Arbitrary Functions of Encrypted Data”. In: Commun. ACM 53.3 (2010), pp. 97–105. DOI: 10.1145/1666420.1666444.</w:t>
      </w:r>
    </w:p>
    <w:p w14:paraId="0AAF30DF"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Seny Kamara and Mariana Raykova. “Parallel Homomorphic Encryption”. In: Workshop on Applied Homomorphic Encryption (WAHC ’13). 2013.</w:t>
      </w:r>
    </w:p>
    <w:p w14:paraId="7DF29D2C"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M. Tebaa, S. El Hajji, and A. El Ghazi. “Homomorphic encryption method applied to Cloud Computing”. In: Network Security and Systems (JNS2). 2012, pp. 86–89.</w:t>
      </w:r>
    </w:p>
    <w:p w14:paraId="5F8489BC"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Arvind Arasu et al. “A secure coprocessor for database applications”. In: Field Programmable Logic and Applications (FPL), 2013 23rd International Conference on. IEEE. 2013, pp. 1–8.</w:t>
      </w:r>
    </w:p>
    <w:p w14:paraId="7AA4C896"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J.G. Dyer et al. “The IBM Secure Coprocessor: Overview and Retrospective”. In: IEEE Computer (2001), pp. 57–66.</w:t>
      </w:r>
    </w:p>
    <w:p w14:paraId="1EB013C9"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PRACTICE. http://www.practice-project.eu/.</w:t>
      </w:r>
    </w:p>
    <w:p w14:paraId="63F3D212"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C.P. Ram and G. Sreenivaasan. “Security as a Service (SasS): Securing user data by coprocessor and distributing the data”. In Trendz in Information Science and Computing, 2010.</w:t>
      </w:r>
    </w:p>
    <w:p w14:paraId="1BCEE464"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Anati, Ittai, et al. "Innovative technology for CPU based attestation and sealing." </w:t>
      </w:r>
      <w:r w:rsidRPr="005E25BA">
        <w:rPr>
          <w:iCs/>
          <w:sz w:val="22"/>
          <w:szCs w:val="22"/>
          <w:lang w:val="en-US"/>
        </w:rPr>
        <w:t>Proceedings of the 2nd International Workshop on Hardware and Architectural Support for Security and Privacy</w:t>
      </w:r>
      <w:r w:rsidRPr="005E25BA">
        <w:rPr>
          <w:sz w:val="22"/>
          <w:szCs w:val="22"/>
          <w:lang w:val="en-US"/>
        </w:rPr>
        <w:t>. 2013.</w:t>
      </w:r>
    </w:p>
    <w:p w14:paraId="6B1CA0B9"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Burrows, Mike. "The Chubby lock service for loosely-coupled distributed systems." </w:t>
      </w:r>
      <w:r w:rsidRPr="005E25BA">
        <w:rPr>
          <w:i/>
          <w:iCs/>
          <w:sz w:val="22"/>
          <w:szCs w:val="22"/>
          <w:lang w:val="en-US"/>
        </w:rPr>
        <w:t>Proceedings of the 7th symposium on Operating systems design and implementation</w:t>
      </w:r>
      <w:r w:rsidRPr="005E25BA">
        <w:rPr>
          <w:sz w:val="22"/>
          <w:szCs w:val="22"/>
          <w:lang w:val="en-US"/>
        </w:rPr>
        <w:t>. USENIX Association, 2006.</w:t>
      </w:r>
    </w:p>
    <w:p w14:paraId="444ED597"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Hunt, Patrick, et al. "ZooKeeper: Wait-free Coordination for Internet-scale Systems." </w:t>
      </w:r>
      <w:r w:rsidRPr="005E25BA">
        <w:rPr>
          <w:i/>
          <w:iCs/>
          <w:sz w:val="22"/>
          <w:szCs w:val="22"/>
          <w:lang w:val="en-US"/>
        </w:rPr>
        <w:t>USENIX Annual Technical Conference</w:t>
      </w:r>
      <w:r w:rsidRPr="005E25BA">
        <w:rPr>
          <w:sz w:val="22"/>
          <w:szCs w:val="22"/>
          <w:lang w:val="en-US"/>
        </w:rPr>
        <w:t>. Vol. 8. 2010.</w:t>
      </w:r>
    </w:p>
    <w:p w14:paraId="1F64C96A"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Jonathan M. McCune et al. “How low can you </w:t>
      </w:r>
      <w:proofErr w:type="gramStart"/>
      <w:r w:rsidRPr="005E25BA">
        <w:rPr>
          <w:sz w:val="22"/>
          <w:szCs w:val="22"/>
          <w:lang w:val="en-US"/>
        </w:rPr>
        <w:t>go?:</w:t>
      </w:r>
      <w:proofErr w:type="gramEnd"/>
      <w:r w:rsidRPr="005E25BA">
        <w:rPr>
          <w:sz w:val="22"/>
          <w:szCs w:val="22"/>
          <w:lang w:val="en-US"/>
        </w:rPr>
        <w:t xml:space="preserve"> recommendations for hardware-supported minimal TCB code execution”. In: ASPLOS. 2008, pp. 14–25.</w:t>
      </w:r>
    </w:p>
    <w:p w14:paraId="788FACE3"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Ahmad-Reza Sadeghi et al. “TCG </w:t>
      </w:r>
      <w:proofErr w:type="gramStart"/>
      <w:r w:rsidRPr="005E25BA">
        <w:rPr>
          <w:sz w:val="22"/>
          <w:szCs w:val="22"/>
          <w:lang w:val="en-US"/>
        </w:rPr>
        <w:t>inside?:</w:t>
      </w:r>
      <w:proofErr w:type="gramEnd"/>
      <w:r w:rsidRPr="005E25BA">
        <w:rPr>
          <w:sz w:val="22"/>
          <w:szCs w:val="22"/>
          <w:lang w:val="en-US"/>
        </w:rPr>
        <w:t xml:space="preserve"> a note on TPM specification compliance”. In: STC. 2006, pp. 47–56.</w:t>
      </w:r>
    </w:p>
    <w:p w14:paraId="3AE8884F"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Marten Van Dijk et al. “Fully homomorphic encryption over the integers”. In: Advances in Cryptology– EUROCRYPT 2010. 2010, pp. 24–43</w:t>
      </w:r>
    </w:p>
    <w:p w14:paraId="05C224AE"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Zhenfei Zhang, Thomas Plantard, and Willy Susilo. “Reaction Attack on Outsourced Computing with Fully Homomorphic Encryption Schemes”. In: ICISC. 2011, pp. 419–436.</w:t>
      </w:r>
    </w:p>
    <w:p w14:paraId="0405E2DC"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G. Edward Suh et al. “AEGIS: Architecture for Tamper-evident and Tamper-resistant Processing”. In: Proceedings of the 17th Annual International Conference on Supercomputing. 2003, pp. 160–171. DOI: 10.1145/782814.782838.</w:t>
      </w:r>
    </w:p>
    <w:p w14:paraId="70DCB583"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David Lie Chandramohan Thekkath et al. “Architectural Support for Copy and Tamper Resistant Software”. In: Proceedings of the Ninth International Conference on Architectural Support for Programming Languages and Operating Systems. 2000, pp. 168–177. DOI: 10.1145/378993.379237</w:t>
      </w:r>
    </w:p>
    <w:p w14:paraId="5E2C4724"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Baumann, Andrew, Marcus Peinado, and Galen Hunt. "Shielding applications from an untrusted cloud with haven." </w:t>
      </w:r>
      <w:r w:rsidRPr="005E25BA">
        <w:rPr>
          <w:i/>
          <w:iCs/>
          <w:sz w:val="22"/>
          <w:szCs w:val="22"/>
          <w:lang w:val="en-US"/>
        </w:rPr>
        <w:t>USENIX Symposium on Operating Systems Design and Implementation (OSDI)</w:t>
      </w:r>
      <w:r w:rsidRPr="005E25BA">
        <w:rPr>
          <w:sz w:val="22"/>
          <w:szCs w:val="22"/>
          <w:lang w:val="en-US"/>
        </w:rPr>
        <w:t>. 2014.</w:t>
      </w:r>
    </w:p>
    <w:p w14:paraId="63B22723"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Candea, George, James Cutler, and Armando Fox. "Improving availability with recursive microreboots: a soft-state system case study." </w:t>
      </w:r>
      <w:r w:rsidRPr="005E25BA">
        <w:rPr>
          <w:i/>
          <w:iCs/>
          <w:sz w:val="22"/>
          <w:szCs w:val="22"/>
          <w:lang w:val="en-US"/>
        </w:rPr>
        <w:t>Performance Evaluation</w:t>
      </w:r>
      <w:r w:rsidRPr="005E25BA">
        <w:rPr>
          <w:sz w:val="22"/>
          <w:szCs w:val="22"/>
          <w:lang w:val="en-US"/>
        </w:rPr>
        <w:t xml:space="preserve"> 56.1 (2004): 213-248.</w:t>
      </w:r>
    </w:p>
    <w:p w14:paraId="44945B9B"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Madhavapeddy, A., Mortier, R., Rotsos, C., Scott, D., Singh, B., Gazagnaire, T., Crowcroft, J. (2013). Unikernels: Library Operating Systems for the Cloud. In </w:t>
      </w:r>
      <w:r w:rsidRPr="005E25BA">
        <w:rPr>
          <w:i/>
          <w:iCs/>
          <w:sz w:val="22"/>
          <w:szCs w:val="22"/>
          <w:lang w:val="en-US"/>
        </w:rPr>
        <w:t>Proceedings of the 18th International Conference on Architectural Support for Programming Languages and Operating Systems</w:t>
      </w:r>
      <w:r w:rsidRPr="005E25BA">
        <w:rPr>
          <w:sz w:val="22"/>
          <w:szCs w:val="22"/>
          <w:lang w:val="en-US"/>
        </w:rPr>
        <w:t xml:space="preserve"> (pp. 461–472).</w:t>
      </w:r>
    </w:p>
    <w:p w14:paraId="0A8B26BF"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M. Sipos, F. H. P. Fitzek, D. E. Lucani, and M. V. Pedersen, “Distributed cloud storage using network coding,” in IEEE Consumer Communications and Networking Conference, Jan. 2014.</w:t>
      </w:r>
    </w:p>
    <w:p w14:paraId="175A3446"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lastRenderedPageBreak/>
        <w:t>A. Dimakis, V. Prabhakaran, and K. Ramchandran, “Ubiquitous access to distributed data in large-scale sensor networks through decentralized erasure codes,” in Information Processing in Sensor Networks, 2005. IPSN 2005. Fourth International Symposium on, 2005, pp. 111–117.</w:t>
      </w:r>
    </w:p>
    <w:p w14:paraId="7A940E75"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A. G. Dimakis, P. B. Godfrey, M. J. Wainwright, and K. Ramchandran, “Network coding for distributed storage systems,” in IEEE International Conference on Computer Communications (INFOCOM), 2007.</w:t>
      </w:r>
    </w:p>
    <w:p w14:paraId="1CFBA514"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M. Sathiamoorthy, M. Asteris, D. S. Papailiopoulos, A. G. Dimakis, R. Vadali, S. Chen, and D. Borthakur, “Xoring elephants: Novel erasure codes for big data,” CoRR, vol. abs/1301.3791, 2013.</w:t>
      </w:r>
    </w:p>
    <w:p w14:paraId="7CF8AC6E"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C. Huang, H. Simitci, Y. Xu, A. Ogus, B. Calder, P. Gopalan, J. Li, and S. Yekhanin, “Erasure coding in Windows Azure Storage,” in Proceedings of the 2012 USENIX Conference on Annual Technical Conference, Berkeley, CA, USA, 2012.</w:t>
      </w:r>
    </w:p>
    <w:p w14:paraId="6AFBF2B1"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Dean, Jeffrey, and Sanjay Ghemawat. "MapReduce: simplified data processing on large clusters." </w:t>
      </w:r>
      <w:r w:rsidRPr="005E25BA">
        <w:rPr>
          <w:i/>
          <w:iCs/>
          <w:sz w:val="22"/>
          <w:szCs w:val="22"/>
          <w:lang w:val="en-US"/>
        </w:rPr>
        <w:t>Communications of the ACM</w:t>
      </w:r>
      <w:r w:rsidRPr="005E25BA">
        <w:rPr>
          <w:sz w:val="22"/>
          <w:szCs w:val="22"/>
          <w:lang w:val="en-US"/>
        </w:rPr>
        <w:t xml:space="preserve"> 51.1 (2008): 107-113.</w:t>
      </w:r>
    </w:p>
    <w:p w14:paraId="5E9A5E5E"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White, Tom. </w:t>
      </w:r>
      <w:r w:rsidRPr="005E25BA">
        <w:rPr>
          <w:i/>
          <w:iCs/>
          <w:sz w:val="22"/>
          <w:szCs w:val="22"/>
          <w:lang w:val="en-US"/>
        </w:rPr>
        <w:t>Hadoop: the definitive guide: the definitive guide</w:t>
      </w:r>
      <w:r w:rsidRPr="005E25BA">
        <w:rPr>
          <w:sz w:val="22"/>
          <w:szCs w:val="22"/>
          <w:lang w:val="en-US"/>
        </w:rPr>
        <w:t>. " O'Reilly Media, Inc.", 2009.</w:t>
      </w:r>
    </w:p>
    <w:p w14:paraId="632335E8" w14:textId="77777777" w:rsidR="00197563" w:rsidRPr="005E25BA" w:rsidRDefault="00197563" w:rsidP="00197563">
      <w:pPr>
        <w:pStyle w:val="Listenabsatz"/>
        <w:numPr>
          <w:ilvl w:val="0"/>
          <w:numId w:val="21"/>
        </w:numPr>
        <w:spacing w:after="40"/>
        <w:ind w:left="426" w:hanging="426"/>
        <w:contextualSpacing w:val="0"/>
        <w:jc w:val="both"/>
        <w:rPr>
          <w:sz w:val="22"/>
          <w:szCs w:val="22"/>
          <w:lang w:val="en-US"/>
        </w:rPr>
      </w:pPr>
      <w:r w:rsidRPr="005E25BA">
        <w:rPr>
          <w:sz w:val="22"/>
          <w:szCs w:val="22"/>
          <w:lang w:val="en-US"/>
        </w:rPr>
        <w:t xml:space="preserve">Neumeyer, Leonardo, et al. "S4: Distributed stream computing platform." </w:t>
      </w:r>
      <w:r w:rsidRPr="005E25BA">
        <w:rPr>
          <w:i/>
          <w:iCs/>
          <w:sz w:val="22"/>
          <w:szCs w:val="22"/>
          <w:lang w:val="en-US"/>
        </w:rPr>
        <w:t>Data Mining Workshops (ICDMW), 2010 IEEE International Conference on</w:t>
      </w:r>
      <w:r w:rsidRPr="005E25BA">
        <w:rPr>
          <w:sz w:val="22"/>
          <w:szCs w:val="22"/>
          <w:lang w:val="en-US"/>
        </w:rPr>
        <w:t>. IEEE, 2010.</w:t>
      </w:r>
    </w:p>
    <w:p w14:paraId="58D7E57D" w14:textId="77777777" w:rsidR="00197563" w:rsidRPr="005E25BA" w:rsidRDefault="00197563" w:rsidP="00197563">
      <w:pPr>
        <w:pStyle w:val="Listenabsatz"/>
        <w:numPr>
          <w:ilvl w:val="0"/>
          <w:numId w:val="21"/>
        </w:numPr>
        <w:spacing w:after="40"/>
        <w:ind w:left="426" w:hanging="426"/>
        <w:contextualSpacing w:val="0"/>
        <w:rPr>
          <w:sz w:val="22"/>
          <w:szCs w:val="22"/>
          <w:lang w:val="en-US"/>
        </w:rPr>
      </w:pPr>
      <w:r w:rsidRPr="005E25BA">
        <w:rPr>
          <w:sz w:val="22"/>
          <w:szCs w:val="22"/>
          <w:lang w:val="en-US"/>
        </w:rPr>
        <w:t xml:space="preserve">Jain, S., Kumar, A., Mandal, S., Ong, J., Poutievski, L., Singh, A., Zhu, M. (2013). B4: Experience with a Globally-Deployed Software Defined WAN. In </w:t>
      </w:r>
      <w:r w:rsidRPr="005E25BA">
        <w:rPr>
          <w:i/>
          <w:iCs/>
          <w:sz w:val="22"/>
          <w:szCs w:val="22"/>
          <w:lang w:val="en-US"/>
        </w:rPr>
        <w:t>Proceedings of the ACM SIGCOMM 2013 Conference</w:t>
      </w:r>
      <w:r w:rsidRPr="005E25BA">
        <w:rPr>
          <w:sz w:val="22"/>
          <w:szCs w:val="22"/>
          <w:lang w:val="en-US"/>
        </w:rPr>
        <w:t xml:space="preserve"> (pp. 3–14).</w:t>
      </w:r>
    </w:p>
    <w:p w14:paraId="6D8BCEF0" w14:textId="77777777" w:rsidR="00197563" w:rsidRPr="005E25BA" w:rsidRDefault="00197563" w:rsidP="00197563">
      <w:pPr>
        <w:pStyle w:val="Listenabsatz"/>
        <w:numPr>
          <w:ilvl w:val="0"/>
          <w:numId w:val="21"/>
        </w:numPr>
        <w:spacing w:after="40"/>
        <w:ind w:left="426" w:hanging="426"/>
        <w:contextualSpacing w:val="0"/>
        <w:rPr>
          <w:sz w:val="22"/>
          <w:szCs w:val="22"/>
          <w:lang w:val="en-US"/>
        </w:rPr>
      </w:pPr>
      <w:r w:rsidRPr="005E25BA">
        <w:rPr>
          <w:sz w:val="22"/>
          <w:szCs w:val="22"/>
          <w:lang w:val="en-US"/>
        </w:rPr>
        <w:t xml:space="preserve">Kelly, J., and Knottenbelt, W. </w:t>
      </w:r>
      <w:r w:rsidRPr="005E25BA">
        <w:rPr>
          <w:i/>
          <w:sz w:val="22"/>
          <w:szCs w:val="22"/>
          <w:lang w:val="en-US"/>
        </w:rPr>
        <w:t>Disaggregating Smart Meter Readings using Device Signatures</w:t>
      </w:r>
      <w:r w:rsidRPr="005E25BA">
        <w:rPr>
          <w:sz w:val="22"/>
          <w:szCs w:val="22"/>
          <w:lang w:val="en-US"/>
        </w:rPr>
        <w:t>. Imperial Computing, Science MSc Individual Project, (Sep. 2011).</w:t>
      </w:r>
    </w:p>
    <w:p w14:paraId="278EC7EC" w14:textId="77777777" w:rsidR="00197563" w:rsidRPr="005E25BA" w:rsidRDefault="00197563" w:rsidP="00197563">
      <w:pPr>
        <w:pStyle w:val="Listenabsatz"/>
        <w:numPr>
          <w:ilvl w:val="0"/>
          <w:numId w:val="21"/>
        </w:numPr>
        <w:spacing w:after="40"/>
        <w:ind w:left="426" w:hanging="426"/>
        <w:contextualSpacing w:val="0"/>
        <w:rPr>
          <w:sz w:val="22"/>
          <w:szCs w:val="22"/>
          <w:lang w:val="en-US"/>
        </w:rPr>
      </w:pPr>
      <w:r w:rsidRPr="005E25BA">
        <w:rPr>
          <w:sz w:val="22"/>
          <w:szCs w:val="22"/>
          <w:lang w:val="en-US"/>
        </w:rPr>
        <w:t xml:space="preserve">Boccuzzi, C. </w:t>
      </w:r>
      <w:r w:rsidRPr="005E25BA">
        <w:rPr>
          <w:i/>
          <w:sz w:val="22"/>
          <w:szCs w:val="22"/>
          <w:lang w:val="en-US"/>
        </w:rPr>
        <w:t>Smart grid and the energetic big brother</w:t>
      </w:r>
      <w:r w:rsidRPr="005E25BA">
        <w:rPr>
          <w:sz w:val="22"/>
          <w:szCs w:val="22"/>
          <w:lang w:val="en-US"/>
        </w:rPr>
        <w:t>. Metering International América Latina, 3, (2010), 82-83.</w:t>
      </w:r>
    </w:p>
    <w:p w14:paraId="2B987071" w14:textId="77777777" w:rsidR="00197563" w:rsidRPr="005E25BA" w:rsidRDefault="00197563" w:rsidP="00197563">
      <w:pPr>
        <w:pStyle w:val="Listenabsatz"/>
        <w:numPr>
          <w:ilvl w:val="0"/>
          <w:numId w:val="21"/>
        </w:numPr>
        <w:spacing w:after="40"/>
        <w:ind w:left="426" w:hanging="426"/>
        <w:contextualSpacing w:val="0"/>
        <w:rPr>
          <w:sz w:val="22"/>
          <w:szCs w:val="22"/>
          <w:lang w:val="en-US"/>
        </w:rPr>
      </w:pPr>
      <w:r w:rsidRPr="005E25BA">
        <w:rPr>
          <w:sz w:val="22"/>
          <w:szCs w:val="22"/>
          <w:lang w:val="en-US"/>
        </w:rPr>
        <w:t xml:space="preserve">Ulrich Greveler, Benjamin Justus and Dennis Löhr: </w:t>
      </w:r>
      <w:r w:rsidRPr="005E25BA">
        <w:rPr>
          <w:i/>
          <w:sz w:val="22"/>
          <w:szCs w:val="22"/>
          <w:lang w:val="en-US"/>
        </w:rPr>
        <w:t>Multimedia Content Identification Through Smart Meter Power Usage Profiles</w:t>
      </w:r>
      <w:r w:rsidRPr="005E25BA">
        <w:rPr>
          <w:sz w:val="22"/>
          <w:szCs w:val="22"/>
          <w:lang w:val="en-US"/>
        </w:rPr>
        <w:t xml:space="preserve"> Proceedings of the International Conference on Information and Knowledge Engineering IKE'12, Las Vegas, 2012.</w:t>
      </w:r>
    </w:p>
    <w:p w14:paraId="121E7260" w14:textId="77777777" w:rsidR="00197563" w:rsidRPr="005E25BA" w:rsidRDefault="00197563" w:rsidP="00197563">
      <w:pPr>
        <w:pStyle w:val="Listenabsatz"/>
        <w:numPr>
          <w:ilvl w:val="0"/>
          <w:numId w:val="21"/>
        </w:numPr>
        <w:spacing w:after="40"/>
        <w:ind w:left="426" w:hanging="426"/>
        <w:contextualSpacing w:val="0"/>
        <w:rPr>
          <w:sz w:val="22"/>
          <w:szCs w:val="22"/>
          <w:lang w:val="en-US"/>
        </w:rPr>
      </w:pPr>
      <w:r w:rsidRPr="005E25BA">
        <w:rPr>
          <w:sz w:val="22"/>
          <w:szCs w:val="22"/>
          <w:lang w:val="en-US"/>
        </w:rPr>
        <w:t xml:space="preserve">Cuijpers, Colette and Koops, Bert-Jaap: </w:t>
      </w:r>
      <w:r w:rsidRPr="005E25BA">
        <w:rPr>
          <w:i/>
          <w:sz w:val="22"/>
          <w:szCs w:val="22"/>
          <w:lang w:val="en-US"/>
        </w:rPr>
        <w:t xml:space="preserve">Smart Metering and Privacy in Europe: Lessons from the Dutch </w:t>
      </w:r>
      <w:proofErr w:type="gramStart"/>
      <w:r w:rsidRPr="005E25BA">
        <w:rPr>
          <w:i/>
          <w:sz w:val="22"/>
          <w:szCs w:val="22"/>
          <w:lang w:val="en-US"/>
        </w:rPr>
        <w:t>Case</w:t>
      </w:r>
      <w:r w:rsidRPr="005E25BA">
        <w:rPr>
          <w:sz w:val="22"/>
          <w:szCs w:val="22"/>
          <w:lang w:val="en-US"/>
        </w:rPr>
        <w:t xml:space="preserve"> .</w:t>
      </w:r>
      <w:proofErr w:type="gramEnd"/>
      <w:r w:rsidRPr="005E25BA">
        <w:rPr>
          <w:sz w:val="22"/>
          <w:szCs w:val="22"/>
          <w:lang w:val="en-US"/>
        </w:rPr>
        <w:t xml:space="preserve"> In: S. Gutwirth et al. (eds), European Data Protection: Coming of Age, Dordrecht: Springer, pp. 269-293 (2012).</w:t>
      </w:r>
    </w:p>
    <w:p w14:paraId="31E082E6" w14:textId="77777777" w:rsidR="00197563" w:rsidRPr="005E25BA" w:rsidRDefault="00197563" w:rsidP="00197563">
      <w:pPr>
        <w:pStyle w:val="H2020Standard"/>
        <w:rPr>
          <w:lang w:val="en-US"/>
        </w:rPr>
      </w:pPr>
    </w:p>
    <w:sectPr w:rsidR="00197563" w:rsidRPr="005E25BA" w:rsidSect="00197563">
      <w:headerReference w:type="default" r:id="rId15"/>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4124F" w14:textId="77777777" w:rsidR="00415209" w:rsidRDefault="00415209" w:rsidP="00634AF8">
      <w:pPr>
        <w:spacing w:after="0" w:line="240" w:lineRule="auto"/>
      </w:pPr>
      <w:r>
        <w:separator/>
      </w:r>
    </w:p>
  </w:endnote>
  <w:endnote w:type="continuationSeparator" w:id="0">
    <w:p w14:paraId="111BB91F" w14:textId="77777777" w:rsidR="00415209" w:rsidRDefault="00415209" w:rsidP="0063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4C524F" w:rsidRDefault="004C524F">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0877C" w14:textId="77777777" w:rsidR="00415209" w:rsidRDefault="00415209" w:rsidP="00634AF8">
      <w:pPr>
        <w:spacing w:after="0" w:line="240" w:lineRule="auto"/>
      </w:pPr>
      <w:r>
        <w:separator/>
      </w:r>
    </w:p>
  </w:footnote>
  <w:footnote w:type="continuationSeparator" w:id="0">
    <w:p w14:paraId="1F9D0FA6" w14:textId="77777777" w:rsidR="00415209" w:rsidRDefault="00415209" w:rsidP="00634AF8">
      <w:pPr>
        <w:spacing w:after="0" w:line="240" w:lineRule="auto"/>
      </w:pPr>
      <w:r>
        <w:continuationSeparator/>
      </w:r>
    </w:p>
  </w:footnote>
  <w:footnote w:id="1">
    <w:p w14:paraId="3A37E2F0"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will be skipped in this proposal as the content of the annex could be directly derived from the partner lists presented at the cover page.</w:t>
      </w:r>
    </w:p>
  </w:footnote>
  <w:footnote w:id="2">
    <w:p w14:paraId="0D09D287"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is skipped as well because it would be in essence a copy of the relevant sections of this proposal.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336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030EF" id="Gerader Verbinde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5E25BA">
      <w:rPr>
        <w:b/>
      </w:rPr>
      <w:fldChar w:fldCharType="separate"/>
    </w:r>
    <w:r w:rsidR="0013585F">
      <w:rPr>
        <w:b/>
        <w:noProof/>
        <w:lang w:val="en-US"/>
      </w:rPr>
      <w:t>Members of the consortium</w:t>
    </w:r>
    <w:r w:rsidRPr="004C2851">
      <w:rPr>
        <w:b/>
        <w:noProof/>
      </w:rPr>
      <w:fldChar w:fldCharType="end"/>
    </w:r>
    <w:r w:rsidRPr="0047607A">
      <w:rPr>
        <w:lang w:val="en-US"/>
      </w:rPr>
      <w:tab/>
    </w:r>
    <w:r w:rsidR="004C524F" w:rsidRPr="00DB6955">
      <w:rPr>
        <w:lang w:val="en-US"/>
      </w:rPr>
      <w:t xml:space="preserve">FTIPilot-01-2016 </w:t>
    </w:r>
    <w:r w:rsidR="004C524F">
      <w:rPr>
        <w:lang w:val="en-US"/>
      </w:rPr>
      <w:t xml:space="preserve"> (</w:t>
    </w:r>
    <w:r w:rsidR="004C524F"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1FBF"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004C524F" w:rsidRPr="00DB6955">
      <w:rPr>
        <w:lang w:val="en-US"/>
      </w:rPr>
      <w:t>FTIPilot-01-</w:t>
    </w:r>
    <w:proofErr w:type="gramStart"/>
    <w:r w:rsidR="004C524F" w:rsidRPr="00DB6955">
      <w:rPr>
        <w:lang w:val="en-US"/>
      </w:rPr>
      <w:t xml:space="preserve">2016 </w:t>
    </w:r>
    <w:r w:rsidR="004C524F">
      <w:rPr>
        <w:lang w:val="en-US"/>
      </w:rPr>
      <w:t xml:space="preserve"> (</w:t>
    </w:r>
    <w:proofErr w:type="gramEnd"/>
    <w:r w:rsidR="004C524F"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47253"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7">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2"/>
  </w:num>
  <w:num w:numId="5">
    <w:abstractNumId w:val="6"/>
  </w:num>
  <w:num w:numId="6">
    <w:abstractNumId w:val="8"/>
  </w:num>
  <w:num w:numId="7">
    <w:abstractNumId w:val="5"/>
    <w:lvlOverride w:ilvl="2">
      <w:lvl w:ilvl="2">
        <w:start w:val="1"/>
        <w:numFmt w:val="decimal"/>
        <w:lvlText w:val="%1.%2.%3"/>
        <w:lvlJc w:val="left"/>
        <w:pPr>
          <w:ind w:left="794" w:hanging="794"/>
        </w:pPr>
        <w:rPr>
          <w:rFonts w:hint="default"/>
          <w:i w:val="0"/>
        </w:rPr>
      </w:lvl>
    </w:lvlOverride>
  </w:num>
  <w:num w:numId="8">
    <w:abstractNumId w:val="12"/>
  </w:num>
  <w:num w:numId="9">
    <w:abstractNumId w:val="12"/>
  </w:num>
  <w:num w:numId="10">
    <w:abstractNumId w:val="12"/>
  </w:num>
  <w:num w:numId="11">
    <w:abstractNumId w:val="7"/>
  </w:num>
  <w:num w:numId="12">
    <w:abstractNumId w:val="13"/>
  </w:num>
  <w:num w:numId="13">
    <w:abstractNumId w:val="15"/>
  </w:num>
  <w:num w:numId="14">
    <w:abstractNumId w:val="3"/>
  </w:num>
  <w:num w:numId="15">
    <w:abstractNumId w:val="14"/>
  </w:num>
  <w:num w:numId="16">
    <w:abstractNumId w:val="0"/>
  </w:num>
  <w:num w:numId="17">
    <w:abstractNumId w:val="1"/>
  </w:num>
  <w:num w:numId="18">
    <w:abstractNumId w:val="16"/>
  </w:num>
  <w:num w:numId="19">
    <w:abstractNumId w:val="2"/>
  </w:num>
  <w:num w:numId="20">
    <w:abstractNumId w:val="9"/>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17119"/>
    <w:rsid w:val="00070776"/>
    <w:rsid w:val="00081A01"/>
    <w:rsid w:val="00091101"/>
    <w:rsid w:val="00091EB3"/>
    <w:rsid w:val="000B32C4"/>
    <w:rsid w:val="000C533E"/>
    <w:rsid w:val="000E6309"/>
    <w:rsid w:val="0012423F"/>
    <w:rsid w:val="0013585F"/>
    <w:rsid w:val="001431CE"/>
    <w:rsid w:val="00146CF8"/>
    <w:rsid w:val="00197563"/>
    <w:rsid w:val="001A310B"/>
    <w:rsid w:val="001A6B83"/>
    <w:rsid w:val="001E60F2"/>
    <w:rsid w:val="00200EA8"/>
    <w:rsid w:val="002149D1"/>
    <w:rsid w:val="00262B4F"/>
    <w:rsid w:val="00283367"/>
    <w:rsid w:val="00283AD0"/>
    <w:rsid w:val="002D15F8"/>
    <w:rsid w:val="00300EAF"/>
    <w:rsid w:val="00331B94"/>
    <w:rsid w:val="00344B50"/>
    <w:rsid w:val="0035039E"/>
    <w:rsid w:val="0037174A"/>
    <w:rsid w:val="003843FE"/>
    <w:rsid w:val="003933CA"/>
    <w:rsid w:val="003A085A"/>
    <w:rsid w:val="003C7AA3"/>
    <w:rsid w:val="003C7E99"/>
    <w:rsid w:val="003E67D0"/>
    <w:rsid w:val="004047B1"/>
    <w:rsid w:val="00415209"/>
    <w:rsid w:val="00423E71"/>
    <w:rsid w:val="00434058"/>
    <w:rsid w:val="00452CB2"/>
    <w:rsid w:val="004571D7"/>
    <w:rsid w:val="00474089"/>
    <w:rsid w:val="0047607A"/>
    <w:rsid w:val="004958C0"/>
    <w:rsid w:val="004C2851"/>
    <w:rsid w:val="004C4BDA"/>
    <w:rsid w:val="004C524F"/>
    <w:rsid w:val="004E6AF8"/>
    <w:rsid w:val="004E7F37"/>
    <w:rsid w:val="004F3D13"/>
    <w:rsid w:val="00500AFC"/>
    <w:rsid w:val="00503CB6"/>
    <w:rsid w:val="00542272"/>
    <w:rsid w:val="00556EF9"/>
    <w:rsid w:val="005665C9"/>
    <w:rsid w:val="0058029E"/>
    <w:rsid w:val="005811C4"/>
    <w:rsid w:val="005D72B2"/>
    <w:rsid w:val="005E25BA"/>
    <w:rsid w:val="0060454B"/>
    <w:rsid w:val="00626EE6"/>
    <w:rsid w:val="00634AF8"/>
    <w:rsid w:val="00640F58"/>
    <w:rsid w:val="00687DAB"/>
    <w:rsid w:val="006A0769"/>
    <w:rsid w:val="00714E6E"/>
    <w:rsid w:val="007605E2"/>
    <w:rsid w:val="00761C04"/>
    <w:rsid w:val="00765053"/>
    <w:rsid w:val="00772D58"/>
    <w:rsid w:val="00785FE5"/>
    <w:rsid w:val="00787F32"/>
    <w:rsid w:val="00795E58"/>
    <w:rsid w:val="007E25FF"/>
    <w:rsid w:val="007E3632"/>
    <w:rsid w:val="0082262F"/>
    <w:rsid w:val="00841C95"/>
    <w:rsid w:val="00854D8B"/>
    <w:rsid w:val="00864A51"/>
    <w:rsid w:val="008717CE"/>
    <w:rsid w:val="008855AC"/>
    <w:rsid w:val="00891551"/>
    <w:rsid w:val="00897755"/>
    <w:rsid w:val="008B4B86"/>
    <w:rsid w:val="008C4F1D"/>
    <w:rsid w:val="008E2A8D"/>
    <w:rsid w:val="008E6F41"/>
    <w:rsid w:val="00952738"/>
    <w:rsid w:val="009D6756"/>
    <w:rsid w:val="00A602BF"/>
    <w:rsid w:val="00A614BA"/>
    <w:rsid w:val="00A63714"/>
    <w:rsid w:val="00A67720"/>
    <w:rsid w:val="00A91CA8"/>
    <w:rsid w:val="00A95E0A"/>
    <w:rsid w:val="00AA7A77"/>
    <w:rsid w:val="00AC6FD5"/>
    <w:rsid w:val="00AE0C10"/>
    <w:rsid w:val="00B440A1"/>
    <w:rsid w:val="00B46E8C"/>
    <w:rsid w:val="00B53418"/>
    <w:rsid w:val="00B54DCB"/>
    <w:rsid w:val="00B835F8"/>
    <w:rsid w:val="00C0036E"/>
    <w:rsid w:val="00C03E1A"/>
    <w:rsid w:val="00C061D9"/>
    <w:rsid w:val="00C247FB"/>
    <w:rsid w:val="00C36699"/>
    <w:rsid w:val="00C50ED3"/>
    <w:rsid w:val="00C71A0B"/>
    <w:rsid w:val="00C7414C"/>
    <w:rsid w:val="00C83AFC"/>
    <w:rsid w:val="00CD2706"/>
    <w:rsid w:val="00D118D5"/>
    <w:rsid w:val="00D16314"/>
    <w:rsid w:val="00D45560"/>
    <w:rsid w:val="00D56356"/>
    <w:rsid w:val="00D710E9"/>
    <w:rsid w:val="00D762C1"/>
    <w:rsid w:val="00D954CD"/>
    <w:rsid w:val="00DB3EFA"/>
    <w:rsid w:val="00DD0AD9"/>
    <w:rsid w:val="00DD49C7"/>
    <w:rsid w:val="00E21A6D"/>
    <w:rsid w:val="00E22505"/>
    <w:rsid w:val="00E479E3"/>
    <w:rsid w:val="00E65D67"/>
    <w:rsid w:val="00E81F24"/>
    <w:rsid w:val="00E9629A"/>
    <w:rsid w:val="00EA24C3"/>
    <w:rsid w:val="00EC5CBF"/>
    <w:rsid w:val="00EE016C"/>
    <w:rsid w:val="00EE3EE2"/>
    <w:rsid w:val="00F47666"/>
    <w:rsid w:val="00FA0996"/>
    <w:rsid w:val="00FB6235"/>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3AD0"/>
    <w:pPr>
      <w:spacing w:after="200" w:line="276" w:lineRule="auto"/>
    </w:p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after="0"/>
      <w:outlineLvl w:val="2"/>
    </w:pPr>
    <w:rPr>
      <w:rFonts w:asciiTheme="majorHAnsi" w:eastAsiaTheme="majorEastAsia" w:hAnsiTheme="majorHAnsi" w:cstheme="majorBidi"/>
      <w:b/>
      <w:bCs/>
      <w:color w:val="5B9BD5" w:themeColor="accent1"/>
      <w:sz w:val="28"/>
      <w:lang w:val="en-GB"/>
    </w:rPr>
  </w:style>
  <w:style w:type="paragraph" w:styleId="berschrift4">
    <w:name w:val="heading 4"/>
    <w:basedOn w:val="Standard"/>
    <w:next w:val="Standard"/>
    <w:link w:val="berschrift4Zchn"/>
    <w:uiPriority w:val="9"/>
    <w:unhideWhenUsed/>
    <w:qFormat/>
    <w:rsid w:val="00640F58"/>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berschrift5">
    <w:name w:val="heading 5"/>
    <w:basedOn w:val="Standard"/>
    <w:next w:val="Standard"/>
    <w:link w:val="berschrift5Zchn"/>
    <w:uiPriority w:val="9"/>
    <w:semiHidden/>
    <w:unhideWhenUsed/>
    <w:qFormat/>
    <w:rsid w:val="00634A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634AF8"/>
    <w:pPr>
      <w:spacing w:before="240" w:after="0"/>
    </w:pPr>
    <w:rPr>
      <w:b/>
      <w:bCs/>
      <w:sz w:val="20"/>
      <w:szCs w:val="20"/>
    </w:rPr>
  </w:style>
  <w:style w:type="paragraph" w:styleId="Verzeichnis3">
    <w:name w:val="toc 3"/>
    <w:basedOn w:val="Standard"/>
    <w:next w:val="Standard"/>
    <w:autoRedefine/>
    <w:uiPriority w:val="39"/>
    <w:unhideWhenUsed/>
    <w:rsid w:val="00634AF8"/>
    <w:pPr>
      <w:spacing w:after="0"/>
      <w:ind w:left="220"/>
    </w:pPr>
    <w:rPr>
      <w:sz w:val="20"/>
      <w:szCs w:val="20"/>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semiHidden/>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uiPriority w:val="10"/>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44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after="0"/>
      <w:ind w:left="660"/>
    </w:pPr>
    <w:rPr>
      <w:sz w:val="20"/>
      <w:szCs w:val="20"/>
    </w:rPr>
  </w:style>
  <w:style w:type="paragraph" w:styleId="Verzeichnis6">
    <w:name w:val="toc 6"/>
    <w:basedOn w:val="Standard"/>
    <w:next w:val="Standard"/>
    <w:autoRedefine/>
    <w:uiPriority w:val="39"/>
    <w:unhideWhenUsed/>
    <w:rsid w:val="00AA7A77"/>
    <w:pPr>
      <w:spacing w:after="0"/>
      <w:ind w:left="880"/>
    </w:pPr>
    <w:rPr>
      <w:sz w:val="20"/>
      <w:szCs w:val="20"/>
    </w:rPr>
  </w:style>
  <w:style w:type="paragraph" w:styleId="Verzeichnis7">
    <w:name w:val="toc 7"/>
    <w:basedOn w:val="Standard"/>
    <w:next w:val="Standard"/>
    <w:autoRedefine/>
    <w:uiPriority w:val="39"/>
    <w:unhideWhenUsed/>
    <w:rsid w:val="00AA7A77"/>
    <w:pPr>
      <w:spacing w:after="0"/>
      <w:ind w:left="1100"/>
    </w:pPr>
    <w:rPr>
      <w:sz w:val="20"/>
      <w:szCs w:val="20"/>
    </w:rPr>
  </w:style>
  <w:style w:type="paragraph" w:styleId="Verzeichnis8">
    <w:name w:val="toc 8"/>
    <w:basedOn w:val="Standard"/>
    <w:next w:val="Standard"/>
    <w:autoRedefine/>
    <w:uiPriority w:val="39"/>
    <w:unhideWhenUsed/>
    <w:rsid w:val="00AA7A77"/>
    <w:pPr>
      <w:spacing w:after="0"/>
      <w:ind w:left="1320"/>
    </w:pPr>
    <w:rPr>
      <w:sz w:val="20"/>
      <w:szCs w:val="20"/>
    </w:rPr>
  </w:style>
  <w:style w:type="paragraph" w:styleId="Verzeichnis9">
    <w:name w:val="toc 9"/>
    <w:basedOn w:val="Standard"/>
    <w:next w:val="Standard"/>
    <w:autoRedefine/>
    <w:uiPriority w:val="39"/>
    <w:unhideWhenUsed/>
    <w:rsid w:val="00AA7A77"/>
    <w:pPr>
      <w:spacing w:after="0"/>
      <w:ind w:left="1540"/>
    </w:pPr>
    <w:rPr>
      <w:sz w:val="20"/>
      <w:szCs w:val="20"/>
    </w:rPr>
  </w:style>
  <w:style w:type="paragraph" w:styleId="HTMLVorformatiert">
    <w:name w:val="HTML Preformatted"/>
    <w:basedOn w:val="Standard"/>
    <w:link w:val="HTMLVorformatiertZchn"/>
    <w:uiPriority w:val="99"/>
    <w:semiHidden/>
    <w:unhideWhenUsed/>
    <w:rsid w:val="005E25BA"/>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nbigdata.e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synclab.it/prodotti/wave/" TargetMode="External"/><Relationship Id="rId10" Type="http://schemas.openxmlformats.org/officeDocument/2006/relationships/hyperlink" Target="http://www.synclab.it/prodotti/streamcrush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8D58-A73C-614C-91DA-AA81817B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4473</Words>
  <Characters>28184</Characters>
  <Application>Microsoft Macintosh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7</cp:revision>
  <cp:lastPrinted>2015-04-21T09:52:00Z</cp:lastPrinted>
  <dcterms:created xsi:type="dcterms:W3CDTF">2016-10-20T13:46:00Z</dcterms:created>
  <dcterms:modified xsi:type="dcterms:W3CDTF">2016-10-20T13:53:00Z</dcterms:modified>
</cp:coreProperties>
</file>