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Storyboard — Presentación de defensa</w:t>
      </w:r>
    </w:p>
    <w:p>
      <w:pPr>
        <w:jc w:val="center"/>
      </w:pPr>
      <w:r>
        <w:t>Detección de anomalías en servicio de TV-over-IP mediante autoencoder LSTM</w:t>
      </w:r>
    </w:p>
    <w:p>
      <w:pPr>
        <w:jc w:val="center"/>
      </w:pPr>
      <w:r>
        <w:t>Ing. Christopher Charaf | FIUBA — Especialización en IA | 24 slides + demo</w:t>
      </w:r>
    </w:p>
    <w:p/>
    <w:p>
      <w:r>
        <w:rPr>
          <w:b/>
        </w:rPr>
        <w:t xml:space="preserve">Uso: </w:t>
      </w:r>
      <w:r>
        <w:t>Guía para armar la presentación en Canva. Cada sección = 1 slide. Las imágenes están embebidas desde Figures/ de la memoria.</w:t>
      </w:r>
    </w:p>
    <w:p>
      <w:r>
        <w:br w:type="page"/>
      </w:r>
    </w:p>
    <w:p>
      <w:pPr>
        <w:pStyle w:val="Heading1"/>
      </w:pPr>
      <w:r>
        <w:t>SLIDE 1 — Portada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Detección de anomalías en servicio de TV-over-IP mediante autoencoder LSTM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Ing. Christopher Charaf</w:t>
      </w:r>
    </w:p>
    <w:p>
      <w:pPr>
        <w:spacing w:after="40"/>
      </w:pPr>
      <w:r>
        <w:rPr>
          <w:sz w:val="22"/>
        </w:rPr>
        <w:t>Carrera de Especialización en Inteligencia Artificial — FIUBA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Director: Esp. Ing. María Fabiana Cid</w:t>
      </w:r>
    </w:p>
    <w:p>
      <w:pPr>
        <w:spacing w:after="40"/>
      </w:pPr>
      <w:r>
        <w:rPr>
          <w:sz w:val="22"/>
        </w:rPr>
        <w:t>Defensa — agosto 2026</w:t>
      </w:r>
    </w:p>
    <w:p>
      <w:r>
        <w:rPr>
          <w:b/>
        </w:rPr>
        <w:t>Notas de orador:</w:t>
      </w:r>
    </w:p>
    <w:p>
      <w:r>
        <w:rPr>
          <w:i/>
          <w:sz w:val="20"/>
        </w:rPr>
        <w:t>Presentación del autor; agradecimientos al jurado y a la directora. (~30 s)</w:t>
      </w:r>
    </w:p>
    <w:p>
      <w:r>
        <w:br w:type="page"/>
      </w:r>
    </w:p>
    <w:p>
      <w:pPr>
        <w:pStyle w:val="Heading1"/>
      </w:pPr>
      <w:r>
        <w:t>SLIDE 2 — El recorrido de hoy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¿Por qué este proyecto?</w:t>
      </w:r>
    </w:p>
    <w:p>
      <w:pPr>
        <w:spacing w:after="40"/>
      </w:pPr>
      <w:r>
        <w:rPr>
          <w:sz w:val="22"/>
        </w:rPr>
        <w:t>2. La meta</w:t>
      </w:r>
    </w:p>
    <w:p>
      <w:pPr>
        <w:spacing w:after="40"/>
      </w:pPr>
      <w:r>
        <w:rPr>
          <w:sz w:val="22"/>
        </w:rPr>
        <w:t>3. Cómo quedó armado</w:t>
      </w:r>
    </w:p>
    <w:p>
      <w:pPr>
        <w:spacing w:after="40"/>
      </w:pPr>
      <w:r>
        <w:rPr>
          <w:sz w:val="22"/>
        </w:rPr>
        <w:t>4. El modelo</w:t>
      </w:r>
    </w:p>
    <w:p>
      <w:pPr>
        <w:spacing w:after="40"/>
      </w:pPr>
      <w:r>
        <w:rPr>
          <w:sz w:val="22"/>
        </w:rPr>
        <w:t>5. Resultados</w:t>
      </w:r>
    </w:p>
    <w:p>
      <w:pPr>
        <w:spacing w:after="40"/>
      </w:pPr>
      <w:r>
        <w:rPr>
          <w:sz w:val="22"/>
        </w:rPr>
        <w:t>6. Demo en vivo</w:t>
      </w:r>
    </w:p>
    <w:p>
      <w:pPr>
        <w:spacing w:after="40"/>
      </w:pPr>
      <w:r>
        <w:rPr>
          <w:sz w:val="22"/>
        </w:rPr>
        <w:t>7. Cierre</w:t>
      </w:r>
    </w:p>
    <w:p>
      <w:r>
        <w:rPr>
          <w:b/>
        </w:rPr>
        <w:t>Notas de orador:</w:t>
      </w:r>
    </w:p>
    <w:p>
      <w:r>
        <w:rPr>
          <w:i/>
          <w:sz w:val="20"/>
        </w:rPr>
        <w:t>Seguir el orden de la memoria; la demo va al final. (~30 s)</w:t>
      </w:r>
    </w:p>
    <w:p>
      <w:r>
        <w:br w:type="page"/>
      </w:r>
    </w:p>
    <w:p>
      <w:pPr>
        <w:pStyle w:val="Heading1"/>
      </w:pPr>
      <w:r>
        <w:t>SLIDE 3 — ¿Por qué este proyecto?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Trabajo final — Especialización en IA (FIUBA)</w:t>
      </w:r>
    </w:p>
    <w:p>
      <w:pPr>
        <w:spacing w:after="40"/>
      </w:pPr>
      <w:r>
        <w:rPr>
          <w:sz w:val="22"/>
        </w:rPr>
        <w:t>• Aplicación en plataforma de video empresarial</w:t>
      </w:r>
    </w:p>
    <w:p>
      <w:pPr>
        <w:spacing w:after="40"/>
      </w:pPr>
      <w:r>
        <w:rPr>
          <w:sz w:val="22"/>
        </w:rPr>
        <w:t>• Servicio TV-over-IP sobre infraestructura en la nube</w:t>
      </w:r>
    </w:p>
    <w:p>
      <w:pPr>
        <w:spacing w:after="40"/>
      </w:pPr>
      <w:r>
        <w:rPr>
          <w:sz w:val="22"/>
        </w:rPr>
        <w:t>• Telemetría en Prometheus (muestreo ~30 s)</w:t>
      </w:r>
    </w:p>
    <w:p>
      <w:r>
        <w:rPr>
          <w:b/>
        </w:rPr>
        <w:t>Notas de orador:</w:t>
      </w:r>
    </w:p>
    <w:p>
      <w:r>
        <w:rPr>
          <w:i/>
          <w:sz w:val="20"/>
        </w:rPr>
        <w:t>Responder: contexto del autor y motivación del trabajo. Mencionar colaboración con operaciones para calibrar el umbral. (~1 min)</w:t>
      </w:r>
    </w:p>
    <w:p>
      <w:r>
        <w:br w:type="page"/>
      </w:r>
    </w:p>
    <w:p>
      <w:pPr>
        <w:pStyle w:val="Heading1"/>
      </w:pPr>
      <w:r>
        <w:t>SLIDE 4 — El problema de las 3 a.m.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Umbrales fijos: útiles para síntomas claros</w:t>
      </w:r>
    </w:p>
    <w:p>
      <w:pPr>
        <w:spacing w:after="40"/>
      </w:pPr>
      <w:r>
        <w:rPr>
          <w:sz w:val="22"/>
        </w:rPr>
        <w:t>• Débiles ante patrones acoplados entre métricas</w:t>
      </w:r>
    </w:p>
    <w:p>
      <w:pPr>
        <w:spacing w:after="40"/>
      </w:pPr>
      <w:r>
        <w:rPr>
          <w:sz w:val="22"/>
        </w:rPr>
        <w:t>• Muchas alertas sin incidente real → fatiga operativa</w:t>
      </w:r>
    </w:p>
    <w:p>
      <w:pPr>
        <w:spacing w:after="40"/>
      </w:pPr>
      <w:r>
        <w:rPr>
          <w:sz w:val="22"/>
        </w:rPr>
        <w:t>• Telemetría debe quedar dentro del perímetro corporativo</w:t>
      </w:r>
    </w:p>
    <w:p>
      <w:r>
        <w:rPr>
          <w:b/>
        </w:rPr>
        <w:t>Notas de orador:</w:t>
      </w:r>
    </w:p>
    <w:p>
      <w:r>
        <w:rPr>
          <w:i/>
          <w:sz w:val="20"/>
        </w:rPr>
        <w:t>El dolor real es la fatiga de alertas, no solo detectar anomalías. (~1,5 min)</w:t>
      </w:r>
    </w:p>
    <w:p>
      <w:r>
        <w:br w:type="page"/>
      </w:r>
    </w:p>
    <w:p>
      <w:pPr>
        <w:pStyle w:val="Heading1"/>
      </w:pPr>
      <w:r>
        <w:t>SLIDE 5 — Cuando algo no cuadra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Patrón que se aparta del régimen nominal aprendido</w:t>
      </w:r>
    </w:p>
    <w:p>
      <w:pPr>
        <w:spacing w:after="40"/>
      </w:pPr>
      <w:r>
        <w:rPr>
          <w:sz w:val="22"/>
        </w:rPr>
        <w:t>• Puede combinar latencia, tráfico y recursos</w:t>
      </w:r>
    </w:p>
    <w:p>
      <w:pPr>
        <w:spacing w:after="40"/>
      </w:pPr>
      <w:r>
        <w:rPr>
          <w:sz w:val="22"/>
        </w:rPr>
        <w:t>• Detección temprana → menos impacto en el usuario</w:t>
      </w:r>
    </w:p>
    <w:p>
      <w:r>
        <w:rPr>
          <w:b/>
        </w:rPr>
        <w:t>Imágenes:</w:t>
      </w:r>
    </w:p>
    <w:p>
      <w:r>
        <w:rPr>
          <w:i/>
        </w:rPr>
        <w:t>Archivo: Figures/anomaly_example.png</w:t>
      </w:r>
    </w:p>
    <w:p>
      <w:r>
        <w:drawing>
          <wp:inline xmlns:a="http://schemas.openxmlformats.org/drawingml/2006/main" xmlns:pic="http://schemas.openxmlformats.org/drawingml/2006/picture">
            <wp:extent cx="5303520" cy="220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anomaly_example.png]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Señalar banda verde = nominal, tramo rojo = desvío sostenido. Fig. 1.1 de la memoria. (~45 s)</w:t>
      </w:r>
    </w:p>
    <w:p>
      <w:r>
        <w:br w:type="page"/>
      </w:r>
    </w:p>
    <w:p>
      <w:pPr>
        <w:pStyle w:val="Heading1"/>
      </w:pPr>
      <w:r>
        <w:t>SLIDE 6 — ¿Qué hace la gente hoy?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Umbrales fijos → regla por métrica; poco contexto multivariado</w:t>
      </w:r>
    </w:p>
    <w:p>
      <w:pPr>
        <w:spacing w:after="40"/>
      </w:pPr>
      <w:r>
        <w:rPr>
          <w:sz w:val="22"/>
        </w:rPr>
        <w:t>Clásicos (IF, kNN) → vector de features; mucho ajuste manual</w:t>
      </w:r>
    </w:p>
    <w:p>
      <w:pPr>
        <w:spacing w:after="40"/>
      </w:pPr>
      <w:r>
        <w:rPr>
          <w:sz w:val="22"/>
        </w:rPr>
        <w:t>Autoencoder LSTM → reconstruye lo nominal; requiere pipeline</w:t>
      </w:r>
    </w:p>
    <w:p>
      <w:pPr>
        <w:spacing w:after="40"/>
      </w:pPr>
      <w:r>
        <w:rPr>
          <w:sz w:val="22"/>
        </w:rPr>
        <w:t>Productos comerciales → integrado al vendor; poco control del modelo</w:t>
      </w:r>
    </w:p>
    <w:p>
      <w:r>
        <w:rPr>
          <w:b/>
        </w:rPr>
        <w:t>Notas de orador:</w:t>
      </w:r>
    </w:p>
    <w:p>
      <w:r>
        <w:rPr>
          <w:i/>
          <w:sz w:val="20"/>
        </w:rPr>
        <w:t>Ubicar la propuesta: AE-LSTM + stack Prometheus–Grafana–Opsgenie. (~1,5 min)</w:t>
      </w:r>
    </w:p>
    <w:p>
      <w:r>
        <w:br w:type="page"/>
      </w:r>
    </w:p>
    <w:p>
      <w:pPr>
        <w:pStyle w:val="Heading1"/>
      </w:pPr>
      <w:r>
        <w:t>SLIDE 7 — La meta del trabajo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General: sistema de detección en operación, integrado al monitoreo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1. Preparar métricas Prometheus (ventanas multivariadas)</w:t>
      </w:r>
    </w:p>
    <w:p>
      <w:pPr>
        <w:spacing w:after="40"/>
      </w:pPr>
      <w:r>
        <w:rPr>
          <w:sz w:val="22"/>
        </w:rPr>
        <w:t>2. Entrenar autoencoder LSTM + umbral calibrado</w:t>
      </w:r>
    </w:p>
    <w:p>
      <w:pPr>
        <w:spacing w:after="40"/>
      </w:pPr>
      <w:r>
        <w:rPr>
          <w:sz w:val="22"/>
        </w:rPr>
        <w:t>3. Integrar alertas contextualizadas y enlaces a Grafana</w:t>
      </w:r>
    </w:p>
    <w:p>
      <w:pPr>
        <w:spacing w:after="40"/>
      </w:pPr>
      <w:r>
        <w:rPr>
          <w:sz w:val="22"/>
        </w:rPr>
        <w:t>4. Evaluar frente a línea base de umbrales fijos</w:t>
      </w:r>
    </w:p>
    <w:p>
      <w:r>
        <w:rPr>
          <w:b/>
        </w:rPr>
        <w:t>Notas de orador:</w:t>
      </w:r>
    </w:p>
    <w:p>
      <w:r>
        <w:rPr>
          <w:i/>
          <w:sz w:val="20"/>
        </w:rPr>
        <w:t>Los 4 objetivos son verificables; al cierre mostrar que se cumplieron. (~1,5 min)</w:t>
      </w:r>
    </w:p>
    <w:p>
      <w:r>
        <w:br w:type="page"/>
      </w:r>
    </w:p>
    <w:p>
      <w:pPr>
        <w:pStyle w:val="Heading1"/>
      </w:pPr>
      <w:r>
        <w:t>SLIDE 8 — Con qué se armó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ML: TensorFlow / Keras, scikit-learn, pandas</w:t>
      </w:r>
    </w:p>
    <w:p>
      <w:pPr>
        <w:spacing w:after="40"/>
      </w:pPr>
      <w:r>
        <w:rPr>
          <w:sz w:val="22"/>
        </w:rPr>
        <w:t>Observabilidad: Prometheus, Grafana, Opsgenie / JSM</w:t>
      </w:r>
    </w:p>
    <w:p>
      <w:pPr>
        <w:spacing w:after="40"/>
      </w:pPr>
      <w:r>
        <w:rPr>
          <w:sz w:val="22"/>
        </w:rPr>
        <w:t>Despliegue: Docker, Python, YAML declarativo</w:t>
      </w:r>
    </w:p>
    <w:p>
      <w:pPr>
        <w:spacing w:after="40"/>
      </w:pPr>
      <w:r>
        <w:rPr>
          <w:sz w:val="22"/>
        </w:rPr>
        <w:t>Entrenamiento e inferencia en CPU</w:t>
      </w:r>
    </w:p>
    <w:p>
      <w:r>
        <w:rPr>
          <w:b/>
        </w:rPr>
        <w:t>Notas de orador:</w:t>
      </w:r>
    </w:p>
    <w:p>
      <w:r>
        <w:rPr>
          <w:i/>
          <w:sz w:val="20"/>
        </w:rPr>
        <w:t>Cap. 2 comprimido; no listar todas las bibliotecas. (~1 min)</w:t>
      </w:r>
    </w:p>
    <w:p>
      <w:r>
        <w:br w:type="page"/>
      </w:r>
    </w:p>
    <w:p>
      <w:pPr>
        <w:pStyle w:val="Heading1"/>
      </w:pPr>
      <w:r>
        <w:t>SLIDE 9 — Los datos (sin spoilear producción)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90 días de régimen nominal (entrenamiento)</w:t>
      </w:r>
    </w:p>
    <w:p>
      <w:pPr>
        <w:spacing w:after="40"/>
      </w:pPr>
      <w:r>
        <w:rPr>
          <w:sz w:val="22"/>
        </w:rPr>
        <w:t>• Partición cronológica 80 % / 20 %</w:t>
      </w:r>
    </w:p>
    <w:p>
      <w:pPr>
        <w:spacing w:after="40"/>
      </w:pPr>
      <w:r>
        <w:rPr>
          <w:sz w:val="22"/>
        </w:rPr>
        <w:t>• Prueba: 24 h con 3 anomalías inyectadas</w:t>
      </w:r>
    </w:p>
    <w:p>
      <w:pPr>
        <w:spacing w:after="40"/>
      </w:pPr>
      <w:r>
        <w:rPr>
          <w:sz w:val="22"/>
        </w:rPr>
        <w:t>• Métricas reales: confidenciales</w:t>
      </w:r>
    </w:p>
    <w:p>
      <w:pPr>
        <w:spacing w:after="40"/>
      </w:pPr>
      <w:r>
        <w:rPr>
          <w:sz w:val="22"/>
        </w:rPr>
        <w:t>• Números publicados: entorno demo reproducible</w:t>
      </w:r>
    </w:p>
    <w:p>
      <w:r>
        <w:rPr>
          <w:b/>
        </w:rPr>
        <w:t>Imágenes:</w:t>
      </w:r>
    </w:p>
    <w:p>
      <w:r>
        <w:rPr>
          <w:i/>
        </w:rPr>
        <w:t>Archivo: Figures/dataset_distribution.png</w:t>
      </w:r>
    </w:p>
    <w:p>
      <w:r>
        <w:drawing>
          <wp:inline xmlns:a="http://schemas.openxmlformats.org/drawingml/2006/main" xmlns:pic="http://schemas.openxmlformats.org/drawingml/2006/picture">
            <wp:extent cx="5303520" cy="3237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dataset_distribution.png]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Anticipar pregunta del jurado sobre confidencialidad. (~1 min)</w:t>
      </w:r>
    </w:p>
    <w:p>
      <w:r>
        <w:br w:type="page"/>
      </w:r>
    </w:p>
    <w:p>
      <w:pPr>
        <w:pStyle w:val="Heading1"/>
      </w:pPr>
      <w:r>
        <w:t>SLIDE 10 — Cómo quedó armado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Prometheus → Detector (contenedor) → Opsgenie</w:t>
      </w:r>
    </w:p>
    <w:p>
      <w:pPr>
        <w:spacing w:after="40"/>
      </w:pPr>
      <w:r>
        <w:rPr>
          <w:sz w:val="22"/>
        </w:rPr>
        <w:t xml:space="preserve">                ↓</w:t>
      </w:r>
    </w:p>
    <w:p>
      <w:pPr>
        <w:spacing w:after="40"/>
      </w:pPr>
      <w:r>
        <w:rPr>
          <w:sz w:val="22"/>
        </w:rPr>
        <w:t xml:space="preserve">            Grafana (contexto temporal)</w:t>
      </w:r>
    </w:p>
    <w:p>
      <w:r>
        <w:rPr>
          <w:b/>
        </w:rPr>
        <w:t>Imágenes:</w:t>
      </w:r>
    </w:p>
    <w:p>
      <w:r>
        <w:rPr>
          <w:i/>
        </w:rPr>
        <w:t>Archivo: Figures/infra_demo.png</w:t>
      </w:r>
    </w:p>
    <w:p>
      <w:r>
        <w:drawing>
          <wp:inline xmlns:a="http://schemas.openxmlformats.org/drawingml/2006/main" xmlns:pic="http://schemas.openxmlformats.org/drawingml/2006/picture">
            <wp:extent cx="5303520" cy="269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infra_demo.png]</w:t>
      </w:r>
    </w:p>
    <w:p>
      <w:r>
        <w:rPr>
          <w:i/>
        </w:rPr>
        <w:t>Archivo: Figures/flow_diag.png</w:t>
      </w:r>
    </w:p>
    <w:p>
      <w:r>
        <w:drawing>
          <wp:inline xmlns:a="http://schemas.openxmlformats.org/drawingml/2006/main" xmlns:pic="http://schemas.openxmlformats.org/drawingml/2006/picture">
            <wp:extent cx="5303520" cy="5062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6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flow_diag.png]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Un solo contenedor nuevo en producción; el resto ya existía. (~1,5 min)</w:t>
      </w:r>
    </w:p>
    <w:p>
      <w:r>
        <w:br w:type="page"/>
      </w:r>
    </w:p>
    <w:p>
      <w:pPr>
        <w:pStyle w:val="Heading1"/>
      </w:pPr>
      <w:r>
        <w:t>SLIDE 11 — De Prometheus al modelo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Consulta PromQL → series alineadas</w:t>
      </w:r>
    </w:p>
    <w:p>
      <w:pPr>
        <w:spacing w:after="40"/>
      </w:pPr>
      <w:r>
        <w:rPr>
          <w:sz w:val="22"/>
        </w:rPr>
        <w:t>2. Ingeniería de variables + hora cíclica</w:t>
      </w:r>
    </w:p>
    <w:p>
      <w:pPr>
        <w:spacing w:after="40"/>
      </w:pPr>
      <w:r>
        <w:rPr>
          <w:sz w:val="22"/>
        </w:rPr>
        <w:t>3. Normalización fixed_minmax</w:t>
      </w:r>
    </w:p>
    <w:p>
      <w:pPr>
        <w:spacing w:after="40"/>
      </w:pPr>
      <w:r>
        <w:rPr>
          <w:sz w:val="22"/>
        </w:rPr>
        <w:t>4. Ventanas deslizantes (tamaño 20, stride 1)</w:t>
      </w:r>
    </w:p>
    <w:p>
      <w:pPr>
        <w:spacing w:after="40"/>
      </w:pPr>
      <w:r>
        <w:rPr>
          <w:sz w:val="22"/>
        </w:rPr>
        <w:t>5. Misma transformación en entrenamiento e inferencia</w:t>
      </w:r>
    </w:p>
    <w:p>
      <w:r>
        <w:rPr>
          <w:b/>
        </w:rPr>
        <w:t>Imágenes:</w:t>
      </w:r>
    </w:p>
    <w:p>
      <w:r>
        <w:rPr>
          <w:i/>
        </w:rPr>
        <w:t>Archivo: Figures/sliding_window.png</w:t>
      </w:r>
    </w:p>
    <w:p>
      <w:r>
        <w:drawing>
          <wp:inline xmlns:a="http://schemas.openxmlformats.org/drawingml/2006/main" xmlns:pic="http://schemas.openxmlformats.org/drawingml/2006/picture">
            <wp:extent cx="5303520" cy="3400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ing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sliding_window.png]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Destacar paridad entrenamiento/inferencia y cotas fijas. (~1,5 min)</w:t>
      </w:r>
    </w:p>
    <w:p>
      <w:r>
        <w:br w:type="page"/>
      </w:r>
    </w:p>
    <w:p>
      <w:pPr>
        <w:pStyle w:val="Heading1"/>
      </w:pPr>
      <w:r>
        <w:t>SLIDE 12 — El cerebro: autoencoder LSTM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Entrenamiento no supervisado (solo régimen nominal)</w:t>
      </w:r>
    </w:p>
    <w:p>
      <w:pPr>
        <w:spacing w:after="40"/>
      </w:pPr>
      <w:r>
        <w:rPr>
          <w:sz w:val="22"/>
        </w:rPr>
        <w:t>• Encoder → bottleneck → Decoder</w:t>
      </w:r>
    </w:p>
    <w:p>
      <w:pPr>
        <w:spacing w:after="40"/>
      </w:pPr>
      <w:r>
        <w:rPr>
          <w:sz w:val="22"/>
        </w:rPr>
        <w:t>• Señal de anomalía: error de reconstrucción (MSE)</w:t>
      </w:r>
    </w:p>
    <w:p>
      <w:pPr>
        <w:spacing w:after="40"/>
      </w:pPr>
      <w:r>
        <w:rPr>
          <w:sz w:val="22"/>
        </w:rPr>
        <w:t>• Umbral: percentil 99,5 del error en validación</w:t>
      </w:r>
    </w:p>
    <w:p>
      <w:r>
        <w:rPr>
          <w:b/>
        </w:rPr>
        <w:t>Imágenes:</w:t>
      </w:r>
    </w:p>
    <w:p>
      <w:r>
        <w:rPr>
          <w:i/>
        </w:rPr>
        <w:t>Archivo: Figures/lstm_autoencoder_arch.png</w:t>
      </w:r>
    </w:p>
    <w:p>
      <w:r>
        <w:drawing>
          <wp:inline xmlns:a="http://schemas.openxmlformats.org/drawingml/2006/main" xmlns:pic="http://schemas.openxmlformats.org/drawingml/2006/picture">
            <wp:extent cx="5303520" cy="2591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utoencoder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lstm_autoencoder_arch.png]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Idea Malhotra et al.: si no reconstruye bien, algo raro pasó. (~1,5 min)</w:t>
      </w:r>
    </w:p>
    <w:p>
      <w:r>
        <w:br w:type="page"/>
      </w:r>
    </w:p>
    <w:p>
      <w:pPr>
        <w:pStyle w:val="Heading1"/>
      </w:pPr>
      <w:r>
        <w:t>SLIDE 13 — De un número raro a una alerta útil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Confirmación: 2 ciclos anómalos consecutivos</w:t>
      </w:r>
    </w:p>
    <w:p>
      <w:pPr>
        <w:spacing w:after="40"/>
      </w:pPr>
      <w:r>
        <w:rPr>
          <w:sz w:val="22"/>
        </w:rPr>
        <w:t>• Deduplicación: 1 incidente → 1 apertura + 1 cierre</w:t>
      </w:r>
    </w:p>
    <w:p>
      <w:pPr>
        <w:spacing w:after="40"/>
      </w:pPr>
      <w:r>
        <w:rPr>
          <w:sz w:val="22"/>
        </w:rPr>
        <w:t>• Escalamiento si persiste &gt; 30 min</w:t>
      </w:r>
    </w:p>
    <w:p>
      <w:pPr>
        <w:spacing w:after="40"/>
      </w:pPr>
      <w:r>
        <w:rPr>
          <w:sz w:val="22"/>
        </w:rPr>
        <w:t>• Enlace Grafana ±15 min alrededor del evento</w:t>
      </w:r>
    </w:p>
    <w:p>
      <w:r>
        <w:rPr>
          <w:b/>
        </w:rPr>
        <w:t>Imágenes:</w:t>
      </w:r>
    </w:p>
    <w:p>
      <w:r>
        <w:rPr>
          <w:i/>
        </w:rPr>
        <w:t>Archivo: Figures/ciclo_vida_alerta.png</w:t>
      </w:r>
    </w:p>
    <w:p>
      <w:r>
        <w:drawing>
          <wp:inline xmlns:a="http://schemas.openxmlformats.org/drawingml/2006/main" xmlns:pic="http://schemas.openxmlformats.org/drawingml/2006/picture">
            <wp:extent cx="5303520" cy="4837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_aler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ciclo_vida_alerta.png]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Aporte directo a la fatiga de alertas (12+ notificaciones → 1). (~1,5 min)</w:t>
      </w:r>
    </w:p>
    <w:p>
      <w:r>
        <w:br w:type="page"/>
      </w:r>
    </w:p>
    <w:p>
      <w:pPr>
        <w:pStyle w:val="Heading1"/>
      </w:pPr>
      <w:r>
        <w:t>SLIDE 14 — Cómo se puso a prueba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Dos planos: reconstrucción (MSE) y clasificación (anomalías inyectadas)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3 tipos inyectados en 24 h de prueba:</w:t>
      </w:r>
    </w:p>
    <w:p>
      <w:pPr>
        <w:spacing w:after="40"/>
      </w:pPr>
      <w:r>
        <w:rPr>
          <w:sz w:val="22"/>
        </w:rPr>
        <w:t>→ Pico de latencia (30 min)</w:t>
      </w:r>
    </w:p>
    <w:p>
      <w:pPr>
        <w:spacing w:after="40"/>
      </w:pPr>
      <w:r>
        <w:rPr>
          <w:sz w:val="22"/>
        </w:rPr>
        <w:t>→ Caída de tráfico (15 min)</w:t>
      </w:r>
    </w:p>
    <w:p>
      <w:pPr>
        <w:spacing w:after="40"/>
      </w:pPr>
      <w:r>
        <w:rPr>
          <w:sz w:val="22"/>
        </w:rPr>
        <w:t>→ Pico de memoria (60 min)</w:t>
      </w:r>
    </w:p>
    <w:p>
      <w:r>
        <w:rPr>
          <w:b/>
        </w:rPr>
        <w:t>Notas de orador:</w:t>
      </w:r>
    </w:p>
    <w:p>
      <w:r>
        <w:rPr>
          <w:i/>
          <w:sz w:val="20"/>
        </w:rPr>
        <w:t>2861 ventanas de prueba, 9,3 % anómalas. (~1 min)</w:t>
      </w:r>
    </w:p>
    <w:p>
      <w:r>
        <w:br w:type="page"/>
      </w:r>
    </w:p>
    <w:p>
      <w:pPr>
        <w:pStyle w:val="Heading1"/>
      </w:pPr>
      <w:r>
        <w:t>SLIDE 15 — Números que importan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Precisión     0,942</w:t>
      </w:r>
    </w:p>
    <w:p>
      <w:pPr>
        <w:spacing w:after="40"/>
      </w:pPr>
      <w:r>
        <w:rPr>
          <w:sz w:val="22"/>
        </w:rPr>
        <w:t>Sensibilidad  0,981</w:t>
      </w:r>
    </w:p>
    <w:p>
      <w:pPr>
        <w:spacing w:after="40"/>
      </w:pPr>
      <w:r>
        <w:rPr>
          <w:sz w:val="22"/>
        </w:rPr>
        <w:t>F1-score      0,961</w:t>
      </w:r>
    </w:p>
    <w:p>
      <w:pPr>
        <w:spacing w:after="40"/>
      </w:pPr>
      <w:r>
        <w:rPr>
          <w:sz w:val="22"/>
        </w:rPr>
        <w:t>TFP           0,6 %</w:t>
      </w:r>
    </w:p>
    <w:p>
      <w:r>
        <w:rPr>
          <w:b/>
        </w:rPr>
        <w:t>Imágenes:</w:t>
      </w:r>
    </w:p>
    <w:p>
      <w:r>
        <w:rPr>
          <w:i/>
        </w:rPr>
        <w:t>Archivo: Figures/evaluacion_modelo.png</w:t>
      </w:r>
    </w:p>
    <w:p>
      <w:r>
        <w:drawing>
          <wp:inline xmlns:a="http://schemas.openxmlformats.org/drawingml/2006/main" xmlns:pic="http://schemas.openxmlformats.org/drawingml/2006/picture">
            <wp:extent cx="5303520" cy="39620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_mode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evaluacion_modelo.png]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Caminar por los 4 paneles: distribución, timeline, matriz, métricas. (~1,5 min)</w:t>
      </w:r>
    </w:p>
    <w:p>
      <w:r>
        <w:br w:type="page"/>
      </w:r>
    </w:p>
    <w:p>
      <w:pPr>
        <w:pStyle w:val="Heading1"/>
      </w:pPr>
      <w:r>
        <w:t>SLIDE 16 — Nominal vs. algo anda mal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Nominal: reconstrucción sigue la señal → error bajo</w:t>
      </w:r>
    </w:p>
    <w:p>
      <w:pPr>
        <w:spacing w:after="40"/>
      </w:pPr>
      <w:r>
        <w:rPr>
          <w:sz w:val="22"/>
        </w:rPr>
        <w:t>Anómala: el modelo proyecta régimen habitual → error alto</w:t>
      </w:r>
    </w:p>
    <w:p>
      <w:r>
        <w:rPr>
          <w:b/>
        </w:rPr>
        <w:t>Imágenes:</w:t>
      </w:r>
    </w:p>
    <w:p>
      <w:r>
        <w:rPr>
          <w:i/>
        </w:rPr>
        <w:t>Archivo: Figures/reconstruccion_ejemplo.png</w:t>
      </w:r>
    </w:p>
    <w:p>
      <w:r>
        <w:drawing>
          <wp:inline xmlns:a="http://schemas.openxmlformats.org/drawingml/2006/main" xmlns:pic="http://schemas.openxmlformats.org/drawingml/2006/picture">
            <wp:extent cx="5303520" cy="1994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struccion_ejemp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reconstruccion_ejemplo.png]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Panel derecho: pico de latencia p95 que el modelo no esperaba. (~1 min)</w:t>
      </w:r>
    </w:p>
    <w:p>
      <w:r>
        <w:br w:type="page"/>
      </w:r>
    </w:p>
    <w:p>
      <w:pPr>
        <w:pStyle w:val="Heading1"/>
      </w:pPr>
      <w:r>
        <w:t>SLIDE 17 — Afinando la sensibilidad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Percentil 99,5: mejor compromiso (F1 = 0,965)</w:t>
      </w:r>
    </w:p>
    <w:p>
      <w:pPr>
        <w:spacing w:after="40"/>
      </w:pPr>
      <w:r>
        <w:rPr>
          <w:sz w:val="22"/>
        </w:rPr>
        <w:t>• Percentil 95: más sensibilidad, más falsos positivos</w:t>
      </w:r>
    </w:p>
    <w:p>
      <w:pPr>
        <w:spacing w:after="40"/>
      </w:pPr>
      <w:r>
        <w:rPr>
          <w:sz w:val="22"/>
        </w:rPr>
        <w:t>• Percentil 99,9: umbral demasiado alto → pierde anomalías</w:t>
      </w:r>
    </w:p>
    <w:p>
      <w:r>
        <w:rPr>
          <w:b/>
        </w:rPr>
        <w:t>Imágenes:</w:t>
      </w:r>
    </w:p>
    <w:p>
      <w:r>
        <w:rPr>
          <w:i/>
        </w:rPr>
        <w:t>Archivo: Figures/barrido_umbral.png</w:t>
      </w:r>
    </w:p>
    <w:p>
      <w:r>
        <w:drawing>
          <wp:inline xmlns:a="http://schemas.openxmlformats.org/drawingml/2006/main" xmlns:pic="http://schemas.openxmlformats.org/drawingml/2006/picture">
            <wp:extent cx="5303520" cy="36034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do_umb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barrido_umbral.png]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Calibrado con operaciones, no solo por métrica offline. (~1 min)</w:t>
      </w:r>
    </w:p>
    <w:p>
      <w:r>
        <w:br w:type="page"/>
      </w:r>
    </w:p>
    <w:p>
      <w:pPr>
        <w:pStyle w:val="Heading1"/>
      </w:pPr>
      <w:r>
        <w:t>SLIDE 18 — ¿Se superan los umbrales fijos?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Umbrales fijos:  Precisión 0,959 | Sensibilidad 0,963 | F1 0,961 | TFP 0,4 %</w:t>
      </w:r>
    </w:p>
    <w:p>
      <w:pPr>
        <w:spacing w:after="40"/>
      </w:pPr>
      <w:r>
        <w:rPr>
          <w:sz w:val="22"/>
        </w:rPr>
        <w:t>Autoencoder LSTM: Precisión 0,942 | Sensibilidad 0,981 | F1 0,961 | TFP 0,6 %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• F1 equivalente en escenario con anomalías marcadas</w:t>
      </w:r>
    </w:p>
    <w:p>
      <w:pPr>
        <w:spacing w:after="40"/>
      </w:pPr>
      <w:r>
        <w:rPr>
          <w:sz w:val="22"/>
        </w:rPr>
        <w:t>• AE-LSTM: mayor sensibilidad multivariada</w:t>
      </w:r>
    </w:p>
    <w:p>
      <w:pPr>
        <w:spacing w:after="40"/>
      </w:pPr>
      <w:r>
        <w:rPr>
          <w:sz w:val="22"/>
        </w:rPr>
        <w:t>• Valor agregado: contexto + deduplicación operativa</w:t>
      </w:r>
    </w:p>
    <w:p>
      <w:r>
        <w:rPr>
          <w:b/>
        </w:rPr>
        <w:t>Notas de orador:</w:t>
      </w:r>
    </w:p>
    <w:p>
      <w:r>
        <w:rPr>
          <w:i/>
          <w:sz w:val="20"/>
        </w:rPr>
        <w:t>No se gana en todas las métricas; el valor está en el enfoque integrado. (~1 min)</w:t>
      </w:r>
    </w:p>
    <w:p>
      <w:r>
        <w:br w:type="page"/>
      </w:r>
    </w:p>
    <w:p>
      <w:pPr>
        <w:pStyle w:val="Heading1"/>
      </w:pPr>
      <w:r>
        <w:t>SLIDE 19 — Nadie es perfecto (ni el modelo)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5 falsos negativos: todos en caída de tráfico</w:t>
      </w:r>
    </w:p>
    <w:p>
      <w:pPr>
        <w:spacing w:after="40"/>
      </w:pPr>
      <w:r>
        <w:rPr>
          <w:sz w:val="22"/>
        </w:rPr>
        <w:t>• Se parece a horarios de baja demanda legítima</w:t>
      </w:r>
    </w:p>
    <w:p>
      <w:pPr>
        <w:spacing w:after="40"/>
      </w:pPr>
      <w:r>
        <w:rPr>
          <w:sz w:val="22"/>
        </w:rPr>
        <w:t>• Evaluación con anomalías sintéticas inyectadas</w:t>
      </w:r>
    </w:p>
    <w:p>
      <w:pPr>
        <w:spacing w:after="40"/>
      </w:pPr>
      <w:r>
        <w:rPr>
          <w:sz w:val="22"/>
        </w:rPr>
        <w:t>• Validación productiva: cualitativa (datos confidenciales)</w:t>
      </w:r>
    </w:p>
    <w:p>
      <w:r>
        <w:rPr>
          <w:b/>
        </w:rPr>
        <w:t>Notas de orador:</w:t>
      </w:r>
    </w:p>
    <w:p>
      <w:r>
        <w:rPr>
          <w:i/>
          <w:sz w:val="20"/>
        </w:rPr>
        <w:t>Mostrar las limitaciones con claridad; conecta con trabajo futuro. (~1 min)</w:t>
      </w:r>
    </w:p>
    <w:p>
      <w:r>
        <w:br w:type="page"/>
      </w:r>
    </w:p>
    <w:p>
      <w:pPr>
        <w:pStyle w:val="Heading1"/>
      </w:pPr>
      <w:r>
        <w:t>SLIDE 20 — A verlo en acción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Flujo extremo a extremo:</w:t>
      </w:r>
    </w:p>
    <w:p>
      <w:pPr>
        <w:spacing w:after="40"/>
      </w:pPr>
      <w:r>
        <w:rPr>
          <w:sz w:val="22"/>
        </w:rPr>
        <w:t>1. Anomalía inyectada en servicio simulado</w:t>
      </w:r>
    </w:p>
    <w:p>
      <w:pPr>
        <w:spacing w:after="40"/>
      </w:pPr>
      <w:r>
        <w:rPr>
          <w:sz w:val="22"/>
        </w:rPr>
        <w:t>2. Detector marca error elevado</w:t>
      </w:r>
    </w:p>
    <w:p>
      <w:pPr>
        <w:spacing w:after="40"/>
      </w:pPr>
      <w:r>
        <w:rPr>
          <w:sz w:val="22"/>
        </w:rPr>
        <w:t>3. Alerta en JSM Operations</w:t>
      </w:r>
    </w:p>
    <w:p>
      <w:pPr>
        <w:spacing w:after="40"/>
      </w:pPr>
      <w:r>
        <w:rPr>
          <w:sz w:val="22"/>
        </w:rPr>
        <w:t>4. Operador abre Grafana con contexto</w:t>
      </w:r>
    </w:p>
    <w:p>
      <w:r>
        <w:rPr>
          <w:b/>
        </w:rPr>
        <w:t>Imágenes:</w:t>
      </w:r>
    </w:p>
    <w:p>
      <w:r>
        <w:rPr>
          <w:i/>
        </w:rPr>
        <w:t>Archivo: Figures/demo_grafana.png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grafa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demo_grafana.png]</w:t>
      </w:r>
    </w:p>
    <w:p>
      <w:r>
        <w:rPr>
          <w:i/>
        </w:rPr>
        <w:t>Archivo: Figures/demo_jsm_alerta.png</w:t>
      </w:r>
    </w:p>
    <w:p>
      <w:r>
        <w:drawing>
          <wp:inline xmlns:a="http://schemas.openxmlformats.org/drawingml/2006/main" xmlns:pic="http://schemas.openxmlformats.org/drawingml/2006/picture">
            <wp:extent cx="5303520" cy="8469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aler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demo_jsm_alerta.png]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Puente hacia demo en vivo o video (3–5 min). Ver anexo de escenas al final del documento.</w:t>
      </w:r>
    </w:p>
    <w:p>
      <w:r>
        <w:br w:type="page"/>
      </w:r>
    </w:p>
    <w:p>
      <w:pPr>
        <w:pStyle w:val="Heading1"/>
      </w:pPr>
      <w:r>
        <w:t>SLIDE 21 — Qué aporta esto de verdad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Pipeline reproducible YAML + paridad train/infer</w:t>
      </w:r>
    </w:p>
    <w:p>
      <w:pPr>
        <w:spacing w:after="40"/>
      </w:pPr>
      <w:r>
        <w:rPr>
          <w:sz w:val="22"/>
        </w:rPr>
        <w:t>• Escalado fixed_minmax sin recalibrar en cada ciclo</w:t>
      </w:r>
    </w:p>
    <w:p>
      <w:pPr>
        <w:spacing w:after="40"/>
      </w:pPr>
      <w:r>
        <w:rPr>
          <w:sz w:val="22"/>
        </w:rPr>
        <w:t>• Señal multivariada única → umbral más simple</w:t>
      </w:r>
    </w:p>
    <w:p>
      <w:pPr>
        <w:spacing w:after="40"/>
      </w:pPr>
      <w:r>
        <w:rPr>
          <w:sz w:val="22"/>
        </w:rPr>
        <w:t>• Deduplicación: de 12+ alertas a 1 por incidente</w:t>
      </w:r>
    </w:p>
    <w:p>
      <w:pPr>
        <w:spacing w:after="40"/>
      </w:pPr>
      <w:r>
        <w:rPr>
          <w:sz w:val="22"/>
        </w:rPr>
        <w:t>• Integración al stack de observabilidad existente</w:t>
      </w:r>
    </w:p>
    <w:p>
      <w:r>
        <w:rPr>
          <w:b/>
        </w:rPr>
        <w:t>Notas de orador:</w:t>
      </w:r>
    </w:p>
    <w:p>
      <w:r>
        <w:rPr>
          <w:i/>
          <w:sz w:val="20"/>
        </w:rPr>
        <w:t>Respuesta directa a: ¿cuáles son los aportes? (~1,5 min)</w:t>
      </w:r>
    </w:p>
    <w:p>
      <w:r>
        <w:br w:type="page"/>
      </w:r>
    </w:p>
    <w:p>
      <w:pPr>
        <w:pStyle w:val="Heading1"/>
      </w:pPr>
      <w:r>
        <w:t>SLIDE 22 — ¿Y ahora qué?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Mejorar detección de caídas de tráfico sutiles</w:t>
      </w:r>
    </w:p>
    <w:p>
      <w:pPr>
        <w:spacing w:after="40"/>
      </w:pPr>
      <w:r>
        <w:rPr>
          <w:sz w:val="22"/>
        </w:rPr>
        <w:t>2. Retroalimentación con operaciones (FP/FN reales)</w:t>
      </w:r>
    </w:p>
    <w:p>
      <w:pPr>
        <w:spacing w:after="40"/>
      </w:pPr>
      <w:r>
        <w:rPr>
          <w:sz w:val="22"/>
        </w:rPr>
        <w:t>3. Reentrenamiento y promoción automatizada de artefactos</w:t>
      </w:r>
    </w:p>
    <w:p>
      <w:pPr>
        <w:spacing w:after="40"/>
      </w:pPr>
      <w:r>
        <w:rPr>
          <w:sz w:val="22"/>
        </w:rPr>
        <w:t>4. Explorar arquitecturas alternativas si crece la complejidad</w:t>
      </w:r>
    </w:p>
    <w:p>
      <w:pPr>
        <w:spacing w:after="40"/>
      </w:pPr>
      <w:r>
        <w:rPr>
          <w:sz w:val="22"/>
        </w:rPr>
        <w:t>5. Extender a otros servicios del ecosistema TV-over-IP</w:t>
      </w:r>
    </w:p>
    <w:p>
      <w:r>
        <w:rPr>
          <w:b/>
        </w:rPr>
        <w:t>Notas de orador:</w:t>
      </w:r>
    </w:p>
    <w:p>
      <w:r>
        <w:rPr>
          <w:i/>
          <w:sz w:val="20"/>
        </w:rPr>
        <w:t>Tres bullets alcanzan si el tiempo es justo; tener el resto en backup. (~1 min)</w:t>
      </w:r>
    </w:p>
    <w:p>
      <w:r>
        <w:br w:type="page"/>
      </w:r>
    </w:p>
    <w:p>
      <w:pPr>
        <w:pStyle w:val="Heading1"/>
      </w:pPr>
      <w:r>
        <w:t>SLIDE 23 — Lo que aportó la carrera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ML: RNN/LSTM, aprendizaje no supervisado, métricas</w:t>
      </w:r>
    </w:p>
    <w:p>
      <w:pPr>
        <w:spacing w:after="40"/>
      </w:pPr>
      <w:r>
        <w:rPr>
          <w:sz w:val="22"/>
        </w:rPr>
        <w:t>• Datos: series temporales, partición cronológica</w:t>
      </w:r>
    </w:p>
    <w:p>
      <w:pPr>
        <w:spacing w:after="40"/>
      </w:pPr>
      <w:r>
        <w:rPr>
          <w:sz w:val="22"/>
        </w:rPr>
        <w:t>• Software: Python, Docker, APIs, configuración declarativa</w:t>
      </w:r>
    </w:p>
    <w:p>
      <w:pPr>
        <w:spacing w:after="40"/>
      </w:pPr>
      <w:r>
        <w:rPr>
          <w:sz w:val="22"/>
        </w:rPr>
        <w:t>• Operaciones: observabilidad, gestión de alertas, SRE</w:t>
      </w:r>
    </w:p>
    <w:p>
      <w:r>
        <w:rPr>
          <w:b/>
        </w:rPr>
        <w:t>Notas de orador:</w:t>
      </w:r>
    </w:p>
    <w:p>
      <w:r>
        <w:rPr>
          <w:i/>
          <w:sz w:val="20"/>
        </w:rPr>
        <w:t>Slide rápida; el jurado de IA valora el puente con ops. (~45 s)</w:t>
      </w:r>
    </w:p>
    <w:p>
      <w:r>
        <w:br w:type="page"/>
      </w:r>
    </w:p>
    <w:p>
      <w:pPr>
        <w:pStyle w:val="Heading1"/>
      </w:pPr>
      <w:r>
        <w:t>SLIDE 24 — En resumen...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Objetivo general cumplido: sistema integrado en operación</w:t>
      </w:r>
    </w:p>
    <w:p>
      <w:pPr>
        <w:spacing w:after="40"/>
      </w:pPr>
      <w:r>
        <w:rPr>
          <w:sz w:val="22"/>
        </w:rPr>
        <w:t>• Detección multivariada con baja tasa de falsas alertas</w:t>
      </w:r>
    </w:p>
    <w:p>
      <w:pPr>
        <w:spacing w:after="40"/>
      </w:pPr>
      <w:r>
        <w:rPr>
          <w:sz w:val="22"/>
        </w:rPr>
        <w:t>• Demo reproducible y validación cualitativa en producción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¡Gracias! — Preguntas</w:t>
      </w:r>
    </w:p>
    <w:p>
      <w:r>
        <w:rPr>
          <w:b/>
        </w:rPr>
        <w:t>Notas de orador:</w:t>
      </w:r>
    </w:p>
    <w:p>
      <w:r>
        <w:rPr>
          <w:i/>
          <w:sz w:val="20"/>
        </w:rPr>
        <w:t>Cerrar: el aporte central es llevar ML al monitoreo sin externalizar telemetría. (~30 s)</w:t>
      </w:r>
    </w:p>
    <w:p>
      <w:r>
        <w:br w:type="page"/>
      </w:r>
    </w:p>
    <w:p>
      <w:pPr>
        <w:pStyle w:val="Heading1"/>
      </w:pPr>
      <w:r>
        <w:t>Anexo — Escenas del video demo (3–5 min)</w:t>
      </w:r>
    </w:p>
    <w:p>
      <w:pPr>
        <w:pStyle w:val="Heading2"/>
      </w:pPr>
      <w:r>
        <w:t>Escena A (30 s)</w:t>
      </w:r>
    </w:p>
    <w:p>
      <w:r>
        <w:t>Texto overlay: Pico sostenido de latencia p95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grafa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B (45 s)</w:t>
      </w:r>
    </w:p>
    <w:p>
      <w:r>
        <w:t>Texto overlay: Detector: error &gt; umbral, confirmación 2 ciclos</w:t>
      </w:r>
    </w:p>
    <w:p>
      <w:r>
        <w:drawing>
          <wp:inline xmlns:a="http://schemas.openxmlformats.org/drawingml/2006/main" xmlns:pic="http://schemas.openxmlformats.org/drawingml/2006/picture">
            <wp:extent cx="5303520" cy="17268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6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C (45 s)</w:t>
      </w:r>
    </w:p>
    <w:p>
      <w:r>
        <w:t>Texto overlay: Apertura de alerta con enlace a Grafana</w:t>
      </w:r>
    </w:p>
    <w:p>
      <w:r>
        <w:drawing>
          <wp:inline xmlns:a="http://schemas.openxmlformats.org/drawingml/2006/main" xmlns:pic="http://schemas.openxmlformats.org/drawingml/2006/picture">
            <wp:extent cx="5303520" cy="84696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aler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69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D (45 s)</w:t>
      </w:r>
    </w:p>
    <w:p>
      <w:r>
        <w:t>Texto overlay: Escalamiento por persistencia</w:t>
      </w:r>
    </w:p>
    <w:p>
      <w:r>
        <w:drawing>
          <wp:inline xmlns:a="http://schemas.openxmlformats.org/drawingml/2006/main" xmlns:pic="http://schemas.openxmlformats.org/drawingml/2006/picture">
            <wp:extent cx="5303520" cy="8610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escalac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10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E (30 s)</w:t>
      </w:r>
    </w:p>
    <w:p>
      <w:r>
        <w:t>Texto overlay: Resolución y deduplicación</w:t>
      </w:r>
    </w:p>
    <w:p>
      <w:r>
        <w:drawing>
          <wp:inline xmlns:a="http://schemas.openxmlformats.org/drawingml/2006/main" xmlns:pic="http://schemas.openxmlformats.org/drawingml/2006/picture">
            <wp:extent cx="5303520" cy="48375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_aler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5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Slides backup (solo si preguntan)</w:t>
      </w:r>
    </w:p>
    <w:p>
      <w:pPr>
        <w:pStyle w:val="ListBullet"/>
      </w:pPr>
      <w:r>
        <w:t>B1 — Hiperparámetros</w:t>
      </w:r>
    </w:p>
    <w:p>
      <w:r>
        <w:t>Tabla 3.9: capas LSTM, batch, epochs, etc.</w:t>
      </w:r>
    </w:p>
    <w:p>
      <w:pPr>
        <w:pStyle w:val="ListBullet"/>
      </w:pPr>
      <w:r>
        <w:t>B2 — Módulos del código</w:t>
      </w:r>
    </w:p>
    <w:p>
      <w:r>
        <w:t>Tabla 3.4 resumida</w:t>
      </w:r>
    </w:p>
    <w:p>
      <w:pPr>
        <w:pStyle w:val="ListBullet"/>
      </w:pPr>
      <w:r>
        <w:t>B3 — Costo de inferencia</w:t>
      </w:r>
    </w:p>
    <w:p>
      <w:r>
        <w:t>Tabla 3.7: CPU, RAM, ciclo 30 s</w:t>
      </w:r>
    </w:p>
    <w:p>
      <w:pPr>
        <w:pStyle w:val="ListBullet"/>
      </w:pPr>
      <w:r>
        <w:t>B4 — Config YAML</w:t>
      </w:r>
    </w:p>
    <w:p>
      <w:r>
        <w:t>data.yaml, alerting.yaml,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