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765A" w14:textId="670C5382" w:rsidR="00F5725E" w:rsidRDefault="00F5725E" w:rsidP="00397017">
      <w:pPr>
        <w:spacing w:before="240" w:after="120"/>
        <w:jc w:val="both"/>
        <w:rPr>
          <w:rFonts w:ascii="Times New Roman" w:hAnsi="Times New Roman" w:cs="Times New Roman"/>
          <w:b/>
          <w:bCs/>
        </w:rPr>
      </w:pPr>
      <w:r w:rsidRPr="0009371F">
        <w:rPr>
          <w:rFonts w:ascii="Times New Roman" w:hAnsi="Times New Roman" w:cs="Times New Roman"/>
          <w:b/>
          <w:bCs/>
          <w:highlight w:val="yellow"/>
        </w:rPr>
        <w:t>SUMMARY OF RESEARCH PROPOSAL</w:t>
      </w:r>
    </w:p>
    <w:p w14:paraId="1AC4BDC2" w14:textId="3D5B2603" w:rsidR="0048739D" w:rsidRDefault="0048739D" w:rsidP="001A0FF5">
      <w:pPr>
        <w:spacing w:before="240" w:after="120"/>
        <w:jc w:val="both"/>
        <w:rPr>
          <w:rFonts w:ascii="Times New Roman" w:hAnsi="Times New Roman" w:cs="Times New Roman"/>
        </w:rPr>
      </w:pPr>
      <w:r w:rsidRPr="0048739D">
        <w:rPr>
          <w:rFonts w:ascii="Times New Roman" w:hAnsi="Times New Roman" w:cs="Times New Roman"/>
        </w:rPr>
        <w:t xml:space="preserve">Temperate and boreal forests are </w:t>
      </w:r>
      <w:r w:rsidR="00695B8D">
        <w:rPr>
          <w:rFonts w:ascii="Times New Roman" w:hAnsi="Times New Roman" w:cs="Times New Roman"/>
        </w:rPr>
        <w:t>closely</w:t>
      </w:r>
      <w:r w:rsidRPr="0048739D">
        <w:rPr>
          <w:rFonts w:ascii="Times New Roman" w:hAnsi="Times New Roman" w:cs="Times New Roman"/>
        </w:rPr>
        <w:t xml:space="preserve"> linked to temperature, a critical factor in regulating the boundaries of </w:t>
      </w:r>
      <w:r w:rsidR="00D90F9E">
        <w:rPr>
          <w:rFonts w:ascii="Times New Roman" w:hAnsi="Times New Roman" w:cs="Times New Roman"/>
        </w:rPr>
        <w:t xml:space="preserve">trees’ </w:t>
      </w:r>
      <w:r w:rsidRPr="0048739D">
        <w:rPr>
          <w:rFonts w:ascii="Times New Roman" w:hAnsi="Times New Roman" w:cs="Times New Roman"/>
        </w:rPr>
        <w:t xml:space="preserve">seasonal activity. Human-induced climate change has led to a global rise in temperatures, resulting in the lengthening of the growing season in numerous ecosystems. </w:t>
      </w:r>
      <w:r w:rsidR="001A0FF5">
        <w:rPr>
          <w:rFonts w:ascii="Times New Roman" w:hAnsi="Times New Roman" w:cs="Times New Roman"/>
        </w:rPr>
        <w:t>Shifts in plant’s phenology —</w:t>
      </w:r>
      <w:r w:rsidR="001A0FF5" w:rsidRPr="00ED5F0A">
        <w:rPr>
          <w:rFonts w:ascii="Times New Roman" w:hAnsi="Times New Roman" w:cs="Times New Roman"/>
        </w:rPr>
        <w:t>the study of recurring life history events</w:t>
      </w:r>
      <w:r w:rsidR="001A0FF5">
        <w:rPr>
          <w:rFonts w:ascii="Times New Roman" w:hAnsi="Times New Roman" w:cs="Times New Roman"/>
        </w:rPr>
        <w:t>— have already been observed and are expected to continue with warmer temperature. Since spring arrives earlier and autumn is delayed, trees could take advantage of these extra days to fix and store more carbon and nutrients. Extended</w:t>
      </w:r>
      <w:r>
        <w:rPr>
          <w:rFonts w:ascii="Times New Roman" w:hAnsi="Times New Roman" w:cs="Times New Roman"/>
        </w:rPr>
        <w:t xml:space="preserve"> spring</w:t>
      </w:r>
      <w:r w:rsidR="001A0FF5">
        <w:rPr>
          <w:rFonts w:ascii="Times New Roman" w:hAnsi="Times New Roman" w:cs="Times New Roman"/>
        </w:rPr>
        <w:t xml:space="preserve"> and autumn </w:t>
      </w:r>
      <w:r>
        <w:rPr>
          <w:rFonts w:ascii="Times New Roman" w:hAnsi="Times New Roman" w:cs="Times New Roman"/>
        </w:rPr>
        <w:t xml:space="preserve">events could affect the next growing season, though this is rarely tested. </w:t>
      </w:r>
      <w:r w:rsidRPr="0048739D">
        <w:rPr>
          <w:rFonts w:ascii="Times New Roman" w:hAnsi="Times New Roman" w:cs="Times New Roman"/>
        </w:rPr>
        <w:t>Given this understanding, what will be the response of different tree species in the following growing season to an extended growth period and autumn nutrient supplements?</w:t>
      </w:r>
      <w:r>
        <w:rPr>
          <w:rFonts w:ascii="Times New Roman" w:hAnsi="Times New Roman" w:cs="Times New Roman"/>
        </w:rPr>
        <w:t xml:space="preserve"> </w:t>
      </w:r>
      <w:r w:rsidRPr="0048739D">
        <w:rPr>
          <w:rFonts w:ascii="Times New Roman" w:hAnsi="Times New Roman" w:cs="Times New Roman"/>
        </w:rPr>
        <w:t>I hypothesize that the extended growing season influences trees' storage pools, and species capable of utilizing this opportunity may exhibit growth increments in the subsequent year. Consequently, species with the ability to absorb nutrients after leaf coloration might also demonstrate increased growth in the following year.</w:t>
      </w:r>
    </w:p>
    <w:p w14:paraId="7A520FC4" w14:textId="4CF0F546" w:rsidR="0048739D" w:rsidRDefault="0048739D" w:rsidP="00397017">
      <w:pPr>
        <w:spacing w:before="240" w:after="120"/>
        <w:jc w:val="both"/>
        <w:rPr>
          <w:rFonts w:ascii="Times New Roman" w:hAnsi="Times New Roman" w:cs="Times New Roman"/>
        </w:rPr>
      </w:pPr>
      <w:r w:rsidRPr="0048739D">
        <w:rPr>
          <w:rFonts w:ascii="Times New Roman" w:hAnsi="Times New Roman" w:cs="Times New Roman"/>
        </w:rPr>
        <w:t>To assess trees' capacity to extend their activity schedule, determine nutrient absorption after leaf coloration, and investigate if increased carbon storage translates into growth increment</w:t>
      </w:r>
      <w:r w:rsidR="00722AD7">
        <w:rPr>
          <w:rFonts w:ascii="Times New Roman" w:hAnsi="Times New Roman" w:cs="Times New Roman"/>
        </w:rPr>
        <w:t xml:space="preserve"> during the subsequent growing season</w:t>
      </w:r>
      <w:r w:rsidRPr="0048739D">
        <w:rPr>
          <w:rFonts w:ascii="Times New Roman" w:hAnsi="Times New Roman" w:cs="Times New Roman"/>
        </w:rPr>
        <w:t>, I will conduct controlled experiments manipulating spring and autumn temperatures across nine tree species.</w:t>
      </w:r>
      <w:r>
        <w:rPr>
          <w:rFonts w:ascii="Times New Roman" w:hAnsi="Times New Roman" w:cs="Times New Roman"/>
        </w:rPr>
        <w:t xml:space="preserve"> </w:t>
      </w:r>
      <w:r w:rsidRPr="0048739D">
        <w:rPr>
          <w:rFonts w:ascii="Times New Roman" w:hAnsi="Times New Roman" w:cs="Times New Roman"/>
        </w:rPr>
        <w:t>Among these, seven will be deciduous trees, and two will be conifers. The four treatments include spring warming, autumn warming, both, and a control. Nutrient enrichment will be applied to trees under warmer and regular autumn temperatures. In 2024, I will monitor radial growth and track phenology. In fall 2025, after trees have grown in ambient temperature, I will assess growth on the individual level and the cellular level.</w:t>
      </w:r>
    </w:p>
    <w:p w14:paraId="49E54BAF" w14:textId="77777777" w:rsidR="00D90F9E" w:rsidRDefault="00D90F9E">
      <w:pPr>
        <w:rPr>
          <w:rFonts w:ascii="Times New Roman" w:hAnsi="Times New Roman" w:cs="Times New Roman"/>
          <w:b/>
          <w:bCs/>
        </w:rPr>
      </w:pPr>
      <w:r>
        <w:rPr>
          <w:rFonts w:ascii="Times New Roman" w:hAnsi="Times New Roman" w:cs="Times New Roman"/>
          <w:b/>
          <w:bCs/>
        </w:rPr>
        <w:br w:type="page"/>
      </w:r>
    </w:p>
    <w:p w14:paraId="044811AA" w14:textId="421C11D7" w:rsidR="00F5725E" w:rsidRDefault="00F5725E" w:rsidP="00397017">
      <w:pPr>
        <w:spacing w:before="240" w:after="120"/>
        <w:jc w:val="both"/>
        <w:rPr>
          <w:rFonts w:ascii="Times New Roman" w:hAnsi="Times New Roman" w:cs="Times New Roman"/>
          <w:b/>
          <w:bCs/>
        </w:rPr>
      </w:pPr>
      <w:r>
        <w:rPr>
          <w:rFonts w:ascii="Times New Roman" w:hAnsi="Times New Roman" w:cs="Times New Roman"/>
          <w:b/>
          <w:bCs/>
        </w:rPr>
        <w:lastRenderedPageBreak/>
        <w:t>RESEARCH PROPOSAL</w:t>
      </w:r>
    </w:p>
    <w:p w14:paraId="6B8A3165" w14:textId="4061F4A5" w:rsidR="006B1B7B" w:rsidRPr="008E4ADF" w:rsidRDefault="008B6C04" w:rsidP="00397017">
      <w:pPr>
        <w:spacing w:before="240" w:after="120"/>
        <w:jc w:val="both"/>
        <w:rPr>
          <w:rFonts w:ascii="Times New Roman" w:hAnsi="Times New Roman" w:cs="Times New Roman"/>
          <w:b/>
          <w:bCs/>
        </w:rPr>
      </w:pPr>
      <w:r w:rsidRPr="00ED5F0A">
        <w:rPr>
          <w:rFonts w:ascii="Times New Roman" w:hAnsi="Times New Roman" w:cs="Times New Roman"/>
          <w:b/>
          <w:bCs/>
        </w:rPr>
        <w:t>Context</w:t>
      </w:r>
      <w:r>
        <w:rPr>
          <w:rFonts w:ascii="Times New Roman" w:hAnsi="Times New Roman" w:cs="Times New Roman"/>
          <w:b/>
          <w:bCs/>
        </w:rPr>
        <w:t>:</w:t>
      </w:r>
      <w:r w:rsidR="00194788">
        <w:rPr>
          <w:rFonts w:ascii="Times New Roman" w:hAnsi="Times New Roman" w:cs="Times New Roman"/>
          <w:b/>
          <w:bCs/>
        </w:rPr>
        <w:t xml:space="preserve"> </w:t>
      </w:r>
      <w:r w:rsidR="00E120A4" w:rsidRPr="00ED5F0A">
        <w:rPr>
          <w:rFonts w:ascii="Times New Roman" w:hAnsi="Times New Roman" w:cs="Times New Roman"/>
        </w:rPr>
        <w:t>In temperate and boreal forests, temperature plays a crucial role in setting the boundaries for the seasonal physiological activity. Thus, with rising temperatures from anthropogenic climate change</w:t>
      </w:r>
      <w:r w:rsidR="006B1B7B" w:rsidRPr="00ED5F0A">
        <w:rPr>
          <w:rFonts w:ascii="Times New Roman" w:hAnsi="Times New Roman" w:cs="Times New Roman"/>
        </w:rPr>
        <w:t xml:space="preserve">, the </w:t>
      </w:r>
      <w:r w:rsidR="00E120A4" w:rsidRPr="00ED5F0A">
        <w:rPr>
          <w:rFonts w:ascii="Times New Roman" w:hAnsi="Times New Roman" w:cs="Times New Roman"/>
        </w:rPr>
        <w:t xml:space="preserve">climatically possible </w:t>
      </w:r>
      <w:r w:rsidR="006B1B7B" w:rsidRPr="00ED5F0A">
        <w:rPr>
          <w:rFonts w:ascii="Times New Roman" w:hAnsi="Times New Roman" w:cs="Times New Roman"/>
        </w:rPr>
        <w:t xml:space="preserve">growing season has </w:t>
      </w:r>
      <w:r w:rsidR="00E120A4" w:rsidRPr="00ED5F0A">
        <w:rPr>
          <w:rFonts w:ascii="Times New Roman" w:hAnsi="Times New Roman" w:cs="Times New Roman"/>
        </w:rPr>
        <w:t xml:space="preserve">lengthened </w:t>
      </w:r>
      <w:r w:rsidR="006B1B7B" w:rsidRPr="00ED5F0A">
        <w:rPr>
          <w:rFonts w:ascii="Times New Roman" w:hAnsi="Times New Roman" w:cs="Times New Roman"/>
        </w:rPr>
        <w:t>in many ecosystems worldwide by up to 10.8 days</w:t>
      </w:r>
      <w:r w:rsidR="00ED5F0A" w:rsidRPr="00ED5F0A">
        <w:rPr>
          <w:rFonts w:ascii="Times New Roman" w:hAnsi="Times New Roman" w:cs="Times New Roman"/>
        </w:rPr>
        <w:t xml:space="preserve"> </w:t>
      </w:r>
      <w:r w:rsidR="00211F6F" w:rsidRPr="00ED5F0A">
        <w:rPr>
          <w:rFonts w:ascii="Times New Roman" w:hAnsi="Times New Roman" w:cs="Times New Roman"/>
        </w:rPr>
        <w:fldChar w:fldCharType="begin"/>
      </w:r>
      <w:r w:rsidR="009515A0">
        <w:rPr>
          <w:rFonts w:ascii="Times New Roman" w:hAnsi="Times New Roman" w:cs="Times New Roman"/>
        </w:rPr>
        <w:instrText xml:space="preserve"> ADDIN ZOTERO_ITEM CSL_CITATION {"citationID":"Nm1grVUp","properties":{"formattedCitation":"(K\\uc0\\u246{}rner et Basler, 2010\\uc0\\u160{}; Menzel et Fabian, 1999)","plainCitation":"(Körner et Basler, 2010 ; Menzel et Fabian, 1999)","noteIndex":0},"citationItems":[{"id":2986,"uris":["http://zotero.org/users/11807912/items/R2HALHWI"],"itemData":{"id":2986,"type":"article-journal","container-title":"Science","DOI":"10.1126/science.1186473","issue":"5972","note":"publisher: American Association for the Advancement of Science","page":"1461-1462","source":"science.org (Atypon)","title":"Phenology Under Global Warming","volume":"327","author":[{"family":"Körner","given":"Christian"},{"family":"Basler","given":"David"}],"issued":{"date-parts":[["2010",3,19]]}}},{"id":2977,"uris":["http://zotero.org/users/11807912/items/UHWEBKLT"],"itemData":{"id":2977,"type":"article-journal","abstract":"Changes in phenology (seasonal plant and animal activity driven by environmental factors) from year to year may be a sensitive and easily observable indicator of changes in the biosphere. We have analysed data from more than 30 years of observation in Europe, and found that spring events, such as leaf unfolding, have advanced by 6 days, whereas autumn events, such as leaf colouring, have been delayed by 4.8 days. This means that the average annual growing season has lengthened by 10.8 days since the early 1960s. These shifts can be attributed to changes in air temperature.","container-title":"Nature","DOI":"10.1038/17709","ISSN":"1476-4687","issue":"6721","language":"en","license":"1999 Macmillan Magazines Ltd.","note":"number: 6721\npublisher: Nature Publishing Group","page":"659-659","source":"www.nature.com","title":"Growing season extended in Europe","volume":"397","author":[{"family":"Menzel","given":"Annette"},{"family":"Fabian","given":"Peter"}],"issued":{"date-parts":[["1999",2]]}}}],"schema":"https://github.com/citation-style-language/schema/raw/master/csl-citation.json"} </w:instrText>
      </w:r>
      <w:r w:rsidR="00211F6F" w:rsidRPr="00ED5F0A">
        <w:rPr>
          <w:rFonts w:ascii="Times New Roman" w:hAnsi="Times New Roman" w:cs="Times New Roman"/>
        </w:rPr>
        <w:fldChar w:fldCharType="separate"/>
      </w:r>
      <w:r w:rsidR="009515A0" w:rsidRPr="009515A0">
        <w:rPr>
          <w:rFonts w:ascii="Times New Roman" w:hAnsi="Times New Roman" w:cs="Times New Roman"/>
          <w:kern w:val="0"/>
          <w:lang w:val="en-US"/>
        </w:rPr>
        <w:t>(</w:t>
      </w:r>
      <w:proofErr w:type="spellStart"/>
      <w:r w:rsidR="009515A0" w:rsidRPr="009515A0">
        <w:rPr>
          <w:rFonts w:ascii="Times New Roman" w:hAnsi="Times New Roman" w:cs="Times New Roman"/>
          <w:kern w:val="0"/>
          <w:lang w:val="en-US"/>
        </w:rPr>
        <w:t>Körner</w:t>
      </w:r>
      <w:proofErr w:type="spellEnd"/>
      <w:r w:rsidR="009515A0" w:rsidRPr="009515A0">
        <w:rPr>
          <w:rFonts w:ascii="Times New Roman" w:hAnsi="Times New Roman" w:cs="Times New Roman"/>
          <w:kern w:val="0"/>
          <w:lang w:val="en-US"/>
        </w:rPr>
        <w:t xml:space="preserve"> et Basler, 2010 ; Menzel et Fabian, 1999)</w:t>
      </w:r>
      <w:r w:rsidR="00211F6F" w:rsidRPr="00ED5F0A">
        <w:rPr>
          <w:rFonts w:ascii="Times New Roman" w:hAnsi="Times New Roman" w:cs="Times New Roman"/>
        </w:rPr>
        <w:fldChar w:fldCharType="end"/>
      </w:r>
      <w:r w:rsidR="00211F6F" w:rsidRPr="00ED5F0A">
        <w:rPr>
          <w:rFonts w:ascii="Times New Roman" w:hAnsi="Times New Roman" w:cs="Times New Roman"/>
        </w:rPr>
        <w:t xml:space="preserve">. </w:t>
      </w:r>
      <w:r w:rsidR="00E120A4" w:rsidRPr="00ED5F0A">
        <w:rPr>
          <w:rFonts w:ascii="Times New Roman" w:hAnsi="Times New Roman" w:cs="Times New Roman"/>
        </w:rPr>
        <w:t xml:space="preserve">Plants have tracked this through shifts in phenology—the study of recurring life history events—which are expected to continue with increasing temperatures </w:t>
      </w:r>
      <w:r w:rsidR="00E120A4" w:rsidRPr="00ED5F0A">
        <w:rPr>
          <w:rFonts w:ascii="Times New Roman" w:hAnsi="Times New Roman" w:cs="Times New Roman"/>
        </w:rPr>
        <w:fldChar w:fldCharType="begin"/>
      </w:r>
      <w:r w:rsidR="00E120A4" w:rsidRPr="00ED5F0A">
        <w:rPr>
          <w:rFonts w:ascii="Times New Roman" w:hAnsi="Times New Roman" w:cs="Times New Roman"/>
        </w:rPr>
        <w:instrText xml:space="preserve"> ADDIN ZOTERO_ITEM CSL_CITATION {"citationID":"5rssJeb8","properties":{"formattedCitation":"(Wolkovich {\\i{}et al.}, 2012)","plainCitation":"(Wolkovich et al., 2012)","noteIndex":0},"citationItems":[{"id":3123,"uris":["http://zotero.org/users/11807912/items/36HHJLN8"],"itemData":{"id":3123,"type":"article-journal","abstract":"Advances in plant flowering and leafing times in response to warming are underpredicted by experimental warming studies.","container-title":"Nature","DOI":"10.1038/nature11014","ISSN":"1476-4687","issue":"7399","language":"en","license":"2012 Springer Nature Limited","note":"number: 7399\npublisher: Nature Publishing Group","page":"494-497","source":"www.nature.com","title":"Warming experiments underpredict plant phenological responses to climate change","volume":"485","author":[{"family":"Wolkovich","given":"E. M."},{"family":"Cook","given":"B. I."},{"family":"Allen","given":"J. M."},{"family":"Crimmins","given":"T. M."},{"family":"Betancourt","given":"J. L."},{"family":"Travers","given":"S. E."},{"family":"Pau","given":"S."},{"family":"Regetz","given":"J."},{"family":"Davies","given":"T. J."},{"family":"Kraft","given":"N. J. B."},{"family":"Ault","given":"T. R."},{"family":"Bolmgren","given":"K."},{"family":"Mazer","given":"S. J."},{"family":"McCabe","given":"G. J."},{"family":"McGill","given":"B. J."},{"family":"Parmesan","given":"C."},{"family":"Salamin","given":"N."},{"family":"Schwartz","given":"M. D."},{"family":"Cleland","given":"E. E."}],"issued":{"date-parts":[["2012",5]]}}}],"schema":"https://github.com/citation-style-language/schema/raw/master/csl-citation.json"} </w:instrText>
      </w:r>
      <w:r w:rsidR="00E120A4" w:rsidRPr="00ED5F0A">
        <w:rPr>
          <w:rFonts w:ascii="Times New Roman" w:hAnsi="Times New Roman" w:cs="Times New Roman"/>
        </w:rPr>
        <w:fldChar w:fldCharType="separate"/>
      </w:r>
      <w:r w:rsidR="00E120A4" w:rsidRPr="00ED5F0A">
        <w:rPr>
          <w:rFonts w:ascii="Times New Roman" w:hAnsi="Times New Roman" w:cs="Times New Roman"/>
          <w:kern w:val="0"/>
          <w:lang w:val="en-US"/>
        </w:rPr>
        <w:t xml:space="preserve">(Wolkovich </w:t>
      </w:r>
      <w:r w:rsidR="00E120A4" w:rsidRPr="00ED5F0A">
        <w:rPr>
          <w:rFonts w:ascii="Times New Roman" w:hAnsi="Times New Roman" w:cs="Times New Roman"/>
          <w:i/>
          <w:iCs/>
          <w:kern w:val="0"/>
          <w:lang w:val="en-US"/>
        </w:rPr>
        <w:t>et al.</w:t>
      </w:r>
      <w:r w:rsidR="00E120A4" w:rsidRPr="00ED5F0A">
        <w:rPr>
          <w:rFonts w:ascii="Times New Roman" w:hAnsi="Times New Roman" w:cs="Times New Roman"/>
          <w:kern w:val="0"/>
          <w:lang w:val="en-US"/>
        </w:rPr>
        <w:t>, 2012)</w:t>
      </w:r>
      <w:r w:rsidR="00E120A4" w:rsidRPr="00ED5F0A">
        <w:rPr>
          <w:rFonts w:ascii="Times New Roman" w:hAnsi="Times New Roman" w:cs="Times New Roman"/>
        </w:rPr>
        <w:fldChar w:fldCharType="end"/>
      </w:r>
      <w:r w:rsidR="00E120A4" w:rsidRPr="00ED5F0A">
        <w:rPr>
          <w:rFonts w:ascii="Times New Roman" w:hAnsi="Times New Roman" w:cs="Times New Roman"/>
        </w:rPr>
        <w:t>. In particular</w:t>
      </w:r>
      <w:r w:rsidR="00182F3F">
        <w:rPr>
          <w:rFonts w:ascii="Times New Roman" w:hAnsi="Times New Roman" w:cs="Times New Roman"/>
        </w:rPr>
        <w:t>,</w:t>
      </w:r>
      <w:r w:rsidR="00E120A4" w:rsidRPr="00ED5F0A">
        <w:rPr>
          <w:rFonts w:ascii="Times New Roman" w:hAnsi="Times New Roman" w:cs="Times New Roman"/>
        </w:rPr>
        <w:t xml:space="preserve"> trees have shifted earlier in the spring, and </w:t>
      </w:r>
      <w:r w:rsidR="00B76CBA" w:rsidRPr="00ED5F0A">
        <w:rPr>
          <w:rFonts w:ascii="Times New Roman" w:hAnsi="Times New Roman" w:cs="Times New Roman"/>
        </w:rPr>
        <w:t xml:space="preserve">may </w:t>
      </w:r>
      <w:r w:rsidR="00E120A4" w:rsidRPr="00ED5F0A">
        <w:rPr>
          <w:rFonts w:ascii="Times New Roman" w:hAnsi="Times New Roman" w:cs="Times New Roman"/>
        </w:rPr>
        <w:t xml:space="preserve">use </w:t>
      </w:r>
      <w:r w:rsidR="00B76CBA" w:rsidRPr="00ED5F0A">
        <w:rPr>
          <w:rFonts w:ascii="Times New Roman" w:hAnsi="Times New Roman" w:cs="Times New Roman"/>
        </w:rPr>
        <w:t xml:space="preserve">this opportunity </w:t>
      </w:r>
      <w:r w:rsidR="006B1B7B" w:rsidRPr="00ED5F0A">
        <w:rPr>
          <w:rFonts w:ascii="Times New Roman" w:hAnsi="Times New Roman" w:cs="Times New Roman"/>
        </w:rPr>
        <w:t>to fix more carbon and grow more during the current growing season</w:t>
      </w:r>
      <w:r w:rsidR="00723486" w:rsidRPr="00ED5F0A">
        <w:rPr>
          <w:rFonts w:ascii="Times New Roman" w:hAnsi="Times New Roman" w:cs="Times New Roman"/>
        </w:rPr>
        <w:t xml:space="preserve"> </w:t>
      </w:r>
      <w:r w:rsidR="008170CC" w:rsidRPr="00ED5F0A">
        <w:rPr>
          <w:rFonts w:ascii="Times New Roman" w:hAnsi="Times New Roman" w:cs="Times New Roman"/>
        </w:rPr>
        <w:fldChar w:fldCharType="begin"/>
      </w:r>
      <w:r w:rsidR="002C62B4" w:rsidRPr="00ED5F0A">
        <w:rPr>
          <w:rFonts w:ascii="Times New Roman" w:hAnsi="Times New Roman" w:cs="Times New Roman"/>
        </w:rPr>
        <w:instrText xml:space="preserve"> ADDIN ZOTERO_ITEM CSL_CITATION {"citationID":"eCZ3ioZL","properties":{"formattedCitation":"(Keenan {\\i{}et al.}, 2014\\uc0\\u160{}; Wang {\\i{}et al.}, 2020)","plainCitation":"(Keenan et al., 2014 ; Wang et al., 2020)","noteIndex":0},"citationItems":[{"id":3119,"uris":["http://zotero.org/users/11807912/items/B4I9FJMZ"],"itemData":{"id":3119,"type":"article-journal","abstract":"The effects of winter chilling, spring forcing temperature, and photoperiod on spring phenology are well known for many European and North American species, but the environmental cues that regulate the spring phenology of East Asian species have not yet been thoroughly investigated. Here, we conducted a growth chamber experiment to test the effects of chilling (controlled by different lengths of exposure to natural chilling conditions), forcing temperature (12, 15, or 18°C) and photoperiod (14 or 10 h) on first flowering date (FFD) of six woody species (three shrubs and three trees) native to East Asia. The three-way analysis of variance (ANOVA) separately for each species showed that the effects of chilling and forcing temperature were significant for almost all species (P &lt; 0.05). Averaged over all chilling and photoperiod treatments, the number of days until FFD decreased by 2.3–36.1 days when the forcing temperature increased by 3°C. More chilling days reduced the time to FFD by 0.7–26 days, when averaged over forcing and photoperiod treatments. A longer photoperiod could advance the FFD by 1.0–5.6 days, on average, but its effect was only significant for two species (including one tree and one shrub). The effects of forcing temperature and photoperiod interacted with chilling for half of the studied species, being stronger in the low chilling than high chilling treatment. These results could be explained by the theory and model of growing degree-days (GDD). Increased exposure to chilling coupled to a longer photoperiod reduced the GDD requirement for FFD, especially when plants grew under low chilling conditions. However, shrubs (except Viburnum dilatatum) had lower chilling and heat requirements than trees, suggesting that, by leafing out sooner, they engage in a more opportunistic life strategy to maximize their growing season, especially before canopy closure from trees' foliage. Our results confirmed the varying effects of these three cues on the flowering phenology of woody species native to East Asia. In future climate change scenarios, spring warming is likely to advance the spring phenology of those woody species, although the reduced chilling and shorter photoperiod may partly offset this spring warming effect.","container-title":"Frontiers in Plant Science","ISSN":"1664-462X","source":"Frontiers","title":"The Interactive Effects of Chilling, Photoperiod, and Forcing Temperature on Flowering Phenology of Temperate Woody Plants","URL":"https://www.frontiersin.org/articles/10.3389/fpls.2020.00443","volume":"11","author":[{"family":"Wang","given":"Huanjiong"},{"family":"Wang","given":"Hui"},{"family":"Ge","given":"Quansheng"},{"family":"Dai","given":"Junhu"}],"accessed":{"date-parts":[["2023",10,25]]},"issued":{"date-parts":[["2020"]]}}},{"id":3121,"uris":["http://zotero.org/users/11807912/items/WB86TB6M"],"itemData":{"id":3121,"type":"article-journal","abstract":"The timing of life-history events has a strong impact on ecosystems. Now, analysis of the phenology of temperate forests in the eastern US indicates that in the case of an earlier spring and a later autumn, carbon uptake (photosynthesis) increases considerably more than carbon release (respiration).","container-title":"Nature Climate Change","DOI":"10.1038/nclimate2253","ISSN":"1758-6798","issue":"7","journalAbbreviation":"Nature Clim Change","language":"en","license":"2014 Springer Nature Limited","note":"number: 7\npublisher: Nature Publishing Group","page":"598-604","source":"www.nature.com","title":"Net carbon uptake has increased through warming-induced changes in temperate forest phenology","volume":"4","author":[{"family":"Keenan","given":"Trevor F."},{"family":"Gray","given":"Josh"},{"family":"Friedl","given":"Mark A."},{"family":"Toomey","given":"Michael"},{"family":"Bohrer","given":"Gil"},{"family":"Hollinger","given":"David Y."},{"family":"Munger","given":"J. William"},{"family":"O’Keefe","given":"John"},{"family":"Schmid","given":"Hans Peter"},{"family":"Wing","given":"Ian Sue"},{"family":"Yang","given":"Bai"},{"family":"Richardson","given":"Andrew D."}],"issued":{"date-parts":[["2014",7]]}}}],"schema":"https://github.com/citation-style-language/schema/raw/master/csl-citation.json"} </w:instrText>
      </w:r>
      <w:r w:rsidR="008170CC" w:rsidRPr="00ED5F0A">
        <w:rPr>
          <w:rFonts w:ascii="Times New Roman" w:hAnsi="Times New Roman" w:cs="Times New Roman"/>
        </w:rPr>
        <w:fldChar w:fldCharType="separate"/>
      </w:r>
      <w:r w:rsidR="002C62B4" w:rsidRPr="00ED5F0A">
        <w:rPr>
          <w:rFonts w:ascii="Times New Roman" w:hAnsi="Times New Roman" w:cs="Times New Roman"/>
          <w:kern w:val="0"/>
          <w:lang w:val="en-US"/>
        </w:rPr>
        <w:t xml:space="preserve">(Keenan </w:t>
      </w:r>
      <w:r w:rsidR="002C62B4" w:rsidRPr="00ED5F0A">
        <w:rPr>
          <w:rFonts w:ascii="Times New Roman" w:hAnsi="Times New Roman" w:cs="Times New Roman"/>
          <w:i/>
          <w:iCs/>
          <w:kern w:val="0"/>
          <w:lang w:val="en-US"/>
        </w:rPr>
        <w:t>et al.</w:t>
      </w:r>
      <w:r w:rsidR="002C62B4" w:rsidRPr="00ED5F0A">
        <w:rPr>
          <w:rFonts w:ascii="Times New Roman" w:hAnsi="Times New Roman" w:cs="Times New Roman"/>
          <w:kern w:val="0"/>
          <w:lang w:val="en-US"/>
        </w:rPr>
        <w:t xml:space="preserve">, 2014 ; Wang </w:t>
      </w:r>
      <w:r w:rsidR="002C62B4" w:rsidRPr="00ED5F0A">
        <w:rPr>
          <w:rFonts w:ascii="Times New Roman" w:hAnsi="Times New Roman" w:cs="Times New Roman"/>
          <w:i/>
          <w:iCs/>
          <w:kern w:val="0"/>
          <w:lang w:val="en-US"/>
        </w:rPr>
        <w:t>et al.</w:t>
      </w:r>
      <w:r w:rsidR="002C62B4" w:rsidRPr="00ED5F0A">
        <w:rPr>
          <w:rFonts w:ascii="Times New Roman" w:hAnsi="Times New Roman" w:cs="Times New Roman"/>
          <w:kern w:val="0"/>
          <w:lang w:val="en-US"/>
        </w:rPr>
        <w:t>, 2020)</w:t>
      </w:r>
      <w:r w:rsidR="008170CC" w:rsidRPr="00ED5F0A">
        <w:rPr>
          <w:rFonts w:ascii="Times New Roman" w:hAnsi="Times New Roman" w:cs="Times New Roman"/>
        </w:rPr>
        <w:fldChar w:fldCharType="end"/>
      </w:r>
      <w:r w:rsidR="006A03F2" w:rsidRPr="00ED5F0A">
        <w:rPr>
          <w:rFonts w:ascii="Times New Roman" w:hAnsi="Times New Roman" w:cs="Times New Roman"/>
        </w:rPr>
        <w:t>.</w:t>
      </w:r>
      <w:r w:rsidR="00881240" w:rsidRPr="00ED5F0A">
        <w:rPr>
          <w:rFonts w:ascii="Times New Roman" w:hAnsi="Times New Roman" w:cs="Times New Roman"/>
        </w:rPr>
        <w:t xml:space="preserve"> </w:t>
      </w:r>
      <w:r w:rsidR="00E120A4" w:rsidRPr="00ED5F0A">
        <w:rPr>
          <w:rFonts w:ascii="Times New Roman" w:hAnsi="Times New Roman" w:cs="Times New Roman"/>
        </w:rPr>
        <w:t xml:space="preserve">Trees have also delayed autumn events (e.g., </w:t>
      </w:r>
      <w:r w:rsidR="00182F3F">
        <w:rPr>
          <w:rFonts w:ascii="Times New Roman" w:hAnsi="Times New Roman" w:cs="Times New Roman"/>
        </w:rPr>
        <w:t xml:space="preserve">leaf </w:t>
      </w:r>
      <w:r w:rsidR="00E120A4" w:rsidRPr="00ED5F0A">
        <w:rPr>
          <w:rFonts w:ascii="Times New Roman" w:hAnsi="Times New Roman" w:cs="Times New Roman"/>
        </w:rPr>
        <w:t>senescence) but the impacts on tree</w:t>
      </w:r>
      <w:r w:rsidR="00881240" w:rsidRPr="00ED5F0A">
        <w:rPr>
          <w:rFonts w:ascii="Times New Roman" w:hAnsi="Times New Roman" w:cs="Times New Roman"/>
        </w:rPr>
        <w:t xml:space="preserve"> fitness are not well understood</w:t>
      </w:r>
      <w:r w:rsidR="00774753" w:rsidRPr="00ED5F0A">
        <w:rPr>
          <w:rFonts w:ascii="Times New Roman" w:hAnsi="Times New Roman" w:cs="Times New Roman"/>
        </w:rPr>
        <w:t xml:space="preserve">. Both extended spring and fall events </w:t>
      </w:r>
      <w:r w:rsidR="00881240" w:rsidRPr="00ED5F0A">
        <w:rPr>
          <w:rFonts w:ascii="Times New Roman" w:hAnsi="Times New Roman" w:cs="Times New Roman"/>
        </w:rPr>
        <w:t>are likely to affect the next growing season</w:t>
      </w:r>
      <w:r w:rsidR="00774753" w:rsidRPr="00ED5F0A">
        <w:rPr>
          <w:rFonts w:ascii="Times New Roman" w:hAnsi="Times New Roman" w:cs="Times New Roman"/>
        </w:rPr>
        <w:t>, though this is rarely tested.</w:t>
      </w:r>
      <w:r w:rsidR="00194788" w:rsidRPr="00194788">
        <w:rPr>
          <w:rFonts w:ascii="Times New Roman" w:hAnsi="Times New Roman" w:cs="Times New Roman"/>
        </w:rPr>
        <w:t xml:space="preserve"> </w:t>
      </w:r>
    </w:p>
    <w:p w14:paraId="2BB88F6C" w14:textId="4925E145" w:rsidR="002E25F3" w:rsidRPr="00397017" w:rsidRDefault="00194788" w:rsidP="00397017">
      <w:pPr>
        <w:spacing w:before="240"/>
        <w:jc w:val="both"/>
        <w:rPr>
          <w:rFonts w:ascii="Times New Roman" w:hAnsi="Times New Roman" w:cs="Times New Roman"/>
          <w:b/>
          <w:bCs/>
        </w:rPr>
      </w:pPr>
      <w:r w:rsidRPr="006630F0">
        <w:rPr>
          <w:rFonts w:ascii="Times New Roman" w:hAnsi="Times New Roman" w:cs="Times New Roman"/>
          <w:b/>
          <w:bCs/>
          <w:highlight w:val="yellow"/>
        </w:rPr>
        <w:t>Research Question:</w:t>
      </w:r>
      <w:r w:rsidR="00397017" w:rsidRPr="006630F0">
        <w:rPr>
          <w:rFonts w:ascii="Times New Roman" w:hAnsi="Times New Roman" w:cs="Times New Roman"/>
          <w:b/>
          <w:bCs/>
          <w:highlight w:val="yellow"/>
        </w:rPr>
        <w:t xml:space="preserve"> </w:t>
      </w:r>
      <w:r w:rsidR="002E25F3" w:rsidRPr="006630F0">
        <w:rPr>
          <w:rFonts w:ascii="Times New Roman" w:hAnsi="Times New Roman" w:cs="Times New Roman"/>
          <w:highlight w:val="yellow"/>
        </w:rPr>
        <w:t xml:space="preserve">In </w:t>
      </w:r>
      <w:r w:rsidR="000C3903" w:rsidRPr="006630F0">
        <w:rPr>
          <w:rFonts w:ascii="Times New Roman" w:hAnsi="Times New Roman" w:cs="Times New Roman"/>
          <w:highlight w:val="yellow"/>
        </w:rPr>
        <w:t>the context of a changing climate</w:t>
      </w:r>
      <w:r w:rsidR="002E25F3" w:rsidRPr="006630F0">
        <w:rPr>
          <w:rFonts w:ascii="Times New Roman" w:hAnsi="Times New Roman" w:cs="Times New Roman"/>
          <w:highlight w:val="yellow"/>
        </w:rPr>
        <w:t>, what will be the following growing season's response of different tree species to prolonged growth periods and nutrient supplementation?</w:t>
      </w:r>
    </w:p>
    <w:p w14:paraId="3C356F2A" w14:textId="2C747EDE" w:rsidR="00B76CBA" w:rsidRPr="00194788" w:rsidRDefault="000E7FC6" w:rsidP="00397017">
      <w:pPr>
        <w:spacing w:before="240"/>
        <w:jc w:val="both"/>
        <w:rPr>
          <w:rFonts w:ascii="Times New Roman" w:hAnsi="Times New Roman" w:cs="Times New Roman"/>
          <w:b/>
          <w:bCs/>
        </w:rPr>
      </w:pPr>
      <w:r w:rsidRPr="00ED5F0A">
        <w:rPr>
          <w:rFonts w:ascii="Times New Roman" w:hAnsi="Times New Roman" w:cs="Times New Roman"/>
          <w:b/>
          <w:bCs/>
        </w:rPr>
        <w:t>Hypothesis</w:t>
      </w:r>
      <w:r w:rsidR="00194788">
        <w:rPr>
          <w:rFonts w:ascii="Times New Roman" w:hAnsi="Times New Roman" w:cs="Times New Roman"/>
          <w:b/>
          <w:bCs/>
        </w:rPr>
        <w:t xml:space="preserve"> : </w:t>
      </w:r>
      <w:r w:rsidR="009A411A" w:rsidRPr="00ED5F0A">
        <w:rPr>
          <w:rFonts w:ascii="Times New Roman" w:hAnsi="Times New Roman" w:cs="Times New Roman"/>
        </w:rPr>
        <w:t>I</w:t>
      </w:r>
      <w:r w:rsidR="00017637" w:rsidRPr="00ED5F0A">
        <w:rPr>
          <w:rFonts w:ascii="Times New Roman" w:hAnsi="Times New Roman" w:cs="Times New Roman"/>
        </w:rPr>
        <w:t xml:space="preserve"> hypothesize that </w:t>
      </w:r>
      <w:r w:rsidR="00B76CBA" w:rsidRPr="00ED5F0A">
        <w:rPr>
          <w:rFonts w:ascii="Times New Roman" w:hAnsi="Times New Roman" w:cs="Times New Roman"/>
        </w:rPr>
        <w:t xml:space="preserve">an extension of the </w:t>
      </w:r>
      <w:r w:rsidR="00017637" w:rsidRPr="00ED5F0A">
        <w:rPr>
          <w:rFonts w:ascii="Times New Roman" w:hAnsi="Times New Roman" w:cs="Times New Roman"/>
        </w:rPr>
        <w:t xml:space="preserve">growing season </w:t>
      </w:r>
      <w:r w:rsidR="00B76CBA" w:rsidRPr="00ED5F0A">
        <w:rPr>
          <w:rFonts w:ascii="Times New Roman" w:hAnsi="Times New Roman" w:cs="Times New Roman"/>
        </w:rPr>
        <w:t xml:space="preserve">could </w:t>
      </w:r>
      <w:r w:rsidR="00D045AE" w:rsidRPr="00ED5F0A">
        <w:rPr>
          <w:rFonts w:ascii="Times New Roman" w:hAnsi="Times New Roman" w:cs="Times New Roman"/>
        </w:rPr>
        <w:t xml:space="preserve">modify </w:t>
      </w:r>
      <w:r w:rsidR="009A411A" w:rsidRPr="00ED5F0A">
        <w:rPr>
          <w:rFonts w:ascii="Times New Roman" w:hAnsi="Times New Roman" w:cs="Times New Roman"/>
        </w:rPr>
        <w:t xml:space="preserve">a </w:t>
      </w:r>
      <w:r w:rsidR="00502804" w:rsidRPr="00ED5F0A">
        <w:rPr>
          <w:rFonts w:ascii="Times New Roman" w:hAnsi="Times New Roman" w:cs="Times New Roman"/>
        </w:rPr>
        <w:t>tree’s</w:t>
      </w:r>
      <w:r w:rsidR="00B76CBA" w:rsidRPr="00ED5F0A">
        <w:rPr>
          <w:rFonts w:ascii="Times New Roman" w:hAnsi="Times New Roman" w:cs="Times New Roman"/>
        </w:rPr>
        <w:t xml:space="preserve"> capacity</w:t>
      </w:r>
      <w:r w:rsidR="00502804" w:rsidRPr="00ED5F0A">
        <w:rPr>
          <w:rFonts w:ascii="Times New Roman" w:hAnsi="Times New Roman" w:cs="Times New Roman"/>
        </w:rPr>
        <w:t xml:space="preserve"> to </w:t>
      </w:r>
      <w:r w:rsidR="00881240" w:rsidRPr="00ED5F0A">
        <w:rPr>
          <w:rFonts w:ascii="Times New Roman" w:hAnsi="Times New Roman" w:cs="Times New Roman"/>
        </w:rPr>
        <w:t xml:space="preserve">fill </w:t>
      </w:r>
      <w:r w:rsidR="00182F3F">
        <w:rPr>
          <w:rFonts w:ascii="Times New Roman" w:hAnsi="Times New Roman" w:cs="Times New Roman"/>
        </w:rPr>
        <w:t>c</w:t>
      </w:r>
      <w:r w:rsidR="00774753" w:rsidRPr="00ED5F0A">
        <w:rPr>
          <w:rFonts w:ascii="Times New Roman" w:hAnsi="Times New Roman" w:cs="Times New Roman"/>
        </w:rPr>
        <w:t>arbon</w:t>
      </w:r>
      <w:r w:rsidR="00182F3F">
        <w:rPr>
          <w:rFonts w:ascii="Times New Roman" w:hAnsi="Times New Roman" w:cs="Times New Roman"/>
        </w:rPr>
        <w:t xml:space="preserve"> and </w:t>
      </w:r>
      <w:r w:rsidR="00774753" w:rsidRPr="00ED5F0A">
        <w:rPr>
          <w:rFonts w:ascii="Times New Roman" w:hAnsi="Times New Roman" w:cs="Times New Roman"/>
        </w:rPr>
        <w:t>nitrogen</w:t>
      </w:r>
      <w:r w:rsidR="00E120A4" w:rsidRPr="00ED5F0A">
        <w:rPr>
          <w:rFonts w:ascii="Times New Roman" w:hAnsi="Times New Roman" w:cs="Times New Roman"/>
        </w:rPr>
        <w:t xml:space="preserve"> </w:t>
      </w:r>
      <w:r w:rsidR="00881240" w:rsidRPr="00ED5F0A">
        <w:rPr>
          <w:rFonts w:ascii="Times New Roman" w:hAnsi="Times New Roman" w:cs="Times New Roman"/>
        </w:rPr>
        <w:t>storage pools</w:t>
      </w:r>
      <w:r w:rsidR="00450345" w:rsidRPr="00ED5F0A">
        <w:rPr>
          <w:rFonts w:ascii="Times New Roman" w:hAnsi="Times New Roman" w:cs="Times New Roman"/>
        </w:rPr>
        <w:t xml:space="preserve"> </w:t>
      </w:r>
      <w:r w:rsidR="00450345" w:rsidRPr="00ED5F0A">
        <w:rPr>
          <w:rFonts w:ascii="Times New Roman" w:hAnsi="Times New Roman" w:cs="Times New Roman"/>
        </w:rPr>
        <w:fldChar w:fldCharType="begin"/>
      </w:r>
      <w:r w:rsidR="002E25F3">
        <w:rPr>
          <w:rFonts w:ascii="Times New Roman" w:hAnsi="Times New Roman" w:cs="Times New Roman"/>
        </w:rPr>
        <w:instrText xml:space="preserve"> ADDIN ZOTERO_ITEM CSL_CITATION {"citationID":"OS8lzvh8","properties":{"formattedCitation":"(Chapin {\\i{}et al.}, 1990\\uc0\\u160{}; Lawrence et Melgar, 2018)","plainCitation":"(Chapin et al., 1990 ; Lawrence et Melgar, 2018)","noteIndex":0},"citationItems":[{"id":3175,"uris":["http://zotero.org/users/11807912/items/X36XFIBH"],"itemData":{"id":3175,"type":"article-journal","container-title":"Annual Review of Ecology and Systematics","DOI":"10.1146/annurev.es.21.110190.002231","issue":"1","note":"_eprint: https://doi.org/10.1146/annurev.es.21.110190.002231","page":"423-447","source":"Annual Reviews","title":"The Ecology and Economics of Storage in Plants","volume":"21","author":[{"family":"Chapin","given":"F S"},{"family":"Schulze","given":"E"},{"family":"Mooney","given":"H A"}],"issued":{"date-parts":[["1990"]]}}},{"id":3139,"uris":["http://zotero.org/users/11807912/items/QWZ6THPM"],"itemData":{"id":3139,"type":"article-journal","abstract":"A delay of leaf senescence resulting from variable fall climate may allow for additional nutrient resorption, and storage within reserve organs. Autumn leaves and reserve organs (&lt;1 year shoots, &gt;1 year shoots, stem above and below the graft union, the tap root, and fine roots) during dormancy of young peach trees were evaluated following warmer fall temperatures and limited soil moisture on two cultivars (‘Scarletprince’ and ‘Autumnprince’ both on GuardianTM rootstock) over two seasons. Four treatments were established for the two cultivars: (1) well-watered trees (100% ETc needs) in ambient outdoor temperatures; (2) water deficient trees (50% ETc needs) in ambient outdoor temperatures; (3) well-watered trees grown within a greenhouse; and (4) water deficient trees within a greenhouse. The greenhouse environment was on average 5°C warmer than the ambient outdoor temperature. Senescence was delayed on greenhouse-grown trees both years with leaf number and area similar in the greenhouse and outdoor environments prior to senescence. Across leaf samples, leaf nitrogen and phosphorus concentrations were lower within delayed senescence tree leaves while potassium was lower in leaves experiencing normal senescence. During dormancy, multiple reserve organs showed higher nitrogen, phosphorus, and potassium in trees with delayed senescence than normal senescence and similar increases were observed in water-deficient trees compared to well-watered trees. Phosphorus and potassium concentrations were also higher in multiple reserve organs within ‘Autumnprince’ trees compared to ‘Scarletprince’ trees. This study suggests variable climate conditions of increased temperatures or reduced soil moisture during autumn resulting in delayed senescence influence the process of nutrient resorption and increase nutrient storage within reserve organs.","container-title":"Frontiers in Plant Science","ISSN":"1664-462X","source":"Frontiers","title":"Variable Fall Climate Influences Nutrient Resorption and Reserve Storage in Young Peach Trees","URL":"https://www.frontiersin.org/articles/10.3389/fpls.2018.01819","volume":"9","author":[{"family":"Lawrence","given":"Brian T."},{"family":"Melgar","given":"Juan Carlos"}],"accessed":{"date-parts":[["2023",11,4]]},"issued":{"date-parts":[["2018"]]}}}],"schema":"https://github.com/citation-style-language/schema/raw/master/csl-citation.json"} </w:instrText>
      </w:r>
      <w:r w:rsidR="00450345" w:rsidRPr="00ED5F0A">
        <w:rPr>
          <w:rFonts w:ascii="Times New Roman" w:hAnsi="Times New Roman" w:cs="Times New Roman"/>
        </w:rPr>
        <w:fldChar w:fldCharType="separate"/>
      </w:r>
      <w:r w:rsidR="002E25F3" w:rsidRPr="002E25F3">
        <w:rPr>
          <w:rFonts w:ascii="Times New Roman" w:hAnsi="Times New Roman" w:cs="Times New Roman"/>
          <w:kern w:val="0"/>
          <w:lang w:val="en-US"/>
        </w:rPr>
        <w:t xml:space="preserve">(Chapin </w:t>
      </w:r>
      <w:r w:rsidR="002E25F3" w:rsidRPr="002E25F3">
        <w:rPr>
          <w:rFonts w:ascii="Times New Roman" w:hAnsi="Times New Roman" w:cs="Times New Roman"/>
          <w:i/>
          <w:iCs/>
          <w:kern w:val="0"/>
          <w:lang w:val="en-US"/>
        </w:rPr>
        <w:t>et al.</w:t>
      </w:r>
      <w:r w:rsidR="002E25F3" w:rsidRPr="002E25F3">
        <w:rPr>
          <w:rFonts w:ascii="Times New Roman" w:hAnsi="Times New Roman" w:cs="Times New Roman"/>
          <w:kern w:val="0"/>
          <w:lang w:val="en-US"/>
        </w:rPr>
        <w:t xml:space="preserve">, 1990 ; Lawrence et </w:t>
      </w:r>
      <w:proofErr w:type="spellStart"/>
      <w:r w:rsidR="002E25F3" w:rsidRPr="002E25F3">
        <w:rPr>
          <w:rFonts w:ascii="Times New Roman" w:hAnsi="Times New Roman" w:cs="Times New Roman"/>
          <w:kern w:val="0"/>
          <w:lang w:val="en-US"/>
        </w:rPr>
        <w:t>Melgar</w:t>
      </w:r>
      <w:proofErr w:type="spellEnd"/>
      <w:r w:rsidR="002E25F3" w:rsidRPr="002E25F3">
        <w:rPr>
          <w:rFonts w:ascii="Times New Roman" w:hAnsi="Times New Roman" w:cs="Times New Roman"/>
          <w:kern w:val="0"/>
          <w:lang w:val="en-US"/>
        </w:rPr>
        <w:t>, 2018)</w:t>
      </w:r>
      <w:r w:rsidR="00450345" w:rsidRPr="00ED5F0A">
        <w:rPr>
          <w:rFonts w:ascii="Times New Roman" w:hAnsi="Times New Roman" w:cs="Times New Roman"/>
        </w:rPr>
        <w:fldChar w:fldCharType="end"/>
      </w:r>
      <w:r w:rsidR="00502804" w:rsidRPr="00ED5F0A">
        <w:rPr>
          <w:rFonts w:ascii="Times New Roman" w:hAnsi="Times New Roman" w:cs="Times New Roman"/>
        </w:rPr>
        <w:t xml:space="preserve">. </w:t>
      </w:r>
      <w:r w:rsidR="00B76CBA" w:rsidRPr="00ED5F0A">
        <w:rPr>
          <w:rFonts w:ascii="Times New Roman" w:hAnsi="Times New Roman" w:cs="Times New Roman"/>
        </w:rPr>
        <w:t xml:space="preserve">Trees that </w:t>
      </w:r>
      <w:r w:rsidR="00182F3F">
        <w:rPr>
          <w:rFonts w:ascii="Times New Roman" w:hAnsi="Times New Roman" w:cs="Times New Roman"/>
        </w:rPr>
        <w:t>use</w:t>
      </w:r>
      <w:r w:rsidR="00B76CBA" w:rsidRPr="00ED5F0A">
        <w:rPr>
          <w:rFonts w:ascii="Times New Roman" w:hAnsi="Times New Roman" w:cs="Times New Roman"/>
        </w:rPr>
        <w:t xml:space="preserve"> </w:t>
      </w:r>
      <w:r w:rsidRPr="00ED5F0A">
        <w:rPr>
          <w:rFonts w:ascii="Times New Roman" w:hAnsi="Times New Roman" w:cs="Times New Roman"/>
        </w:rPr>
        <w:t xml:space="preserve">this opportunity </w:t>
      </w:r>
      <w:r w:rsidR="00D045AE" w:rsidRPr="00ED5F0A">
        <w:rPr>
          <w:rFonts w:ascii="Times New Roman" w:hAnsi="Times New Roman" w:cs="Times New Roman"/>
        </w:rPr>
        <w:t xml:space="preserve">by fixing more carbon </w:t>
      </w:r>
      <w:r w:rsidR="00B76CBA" w:rsidRPr="00ED5F0A">
        <w:rPr>
          <w:rFonts w:ascii="Times New Roman" w:hAnsi="Times New Roman" w:cs="Times New Roman"/>
        </w:rPr>
        <w:t xml:space="preserve">may experience increased growth </w:t>
      </w:r>
      <w:r w:rsidR="00194788">
        <w:rPr>
          <w:rFonts w:ascii="Times New Roman" w:hAnsi="Times New Roman" w:cs="Times New Roman"/>
        </w:rPr>
        <w:t xml:space="preserve">in </w:t>
      </w:r>
      <w:r w:rsidR="00B76CBA" w:rsidRPr="00ED5F0A">
        <w:rPr>
          <w:rFonts w:ascii="Times New Roman" w:hAnsi="Times New Roman" w:cs="Times New Roman"/>
        </w:rPr>
        <w:t>the subsequent growing season</w:t>
      </w:r>
      <w:r w:rsidR="002E25F3">
        <w:rPr>
          <w:rFonts w:ascii="Times New Roman" w:hAnsi="Times New Roman" w:cs="Times New Roman"/>
        </w:rPr>
        <w:t xml:space="preserve"> </w:t>
      </w:r>
      <w:r w:rsidR="002E25F3">
        <w:rPr>
          <w:rFonts w:ascii="Times New Roman" w:hAnsi="Times New Roman" w:cs="Times New Roman"/>
        </w:rPr>
        <w:fldChar w:fldCharType="begin"/>
      </w:r>
      <w:r w:rsidR="002E25F3">
        <w:rPr>
          <w:rFonts w:ascii="Times New Roman" w:hAnsi="Times New Roman" w:cs="Times New Roman"/>
        </w:rPr>
        <w:instrText xml:space="preserve"> ADDIN ZOTERO_ITEM CSL_CITATION {"citationID":"PML9x2JJ","properties":{"formattedCitation":"(Landh\\uc0\\u228{}usser {\\i{}et al.}, 2012\\uc0\\u160{}; Martens {\\i{}et al.}, 2007)","plainCitation":"(Landhäusser et al., 2012 ; Martens et al., 2007)","noteIndex":0},"citationItems":[{"id":3282,"uris":["http://zotero.org/users/11807912/items/9IGK5LKM"],"itemData":{"id":3282,"type":"article-journal","abstract":"Increasingly, trembling aspen (Populus tremuloides Michx.) is being planted in stressful situations such as forest land reclamation, afforestation and forest restoration in North America. This is due to its fast potential for growth and high resiliency, but its indeterminate growth strategy provides a special challenge in creating suitable planting stock for these sites. Clues from naturally established aspen seedlings suggest that root total non-structural carbohydrate (TNC) reserves and root:shoot ratio could be strongly related to subsequent seedling establishment and growth. Carbon allocation in plants is generally partitioned between reserve accumulation and growth and development. Under conditions in controlled nurseries, the allocation of carbohydrates to reserves could be manipulated in order to produce seedlings designed for specific environmental conditions. To manipulate seedling characteristics we attempted to induce premature bud set during nursery culture while allowing continued photosynthesis. Treatments included applying different fertilizer regimes, light intensities, reducing photoperiod and use of a shoot growth inhibitor. The shoot growth inhibitor was the most reliable treatment and resulted in complete bud set, while blackout was successful only when seedlings were grown outside. Low nutrient treatments also resulted in early bud set; however, leaves were abscised much earlier. There was a distinct trade-off between growth and reserve accumulation with the late bud set. A longer period of height growth reduced root and total TNC reserves, while early bud set allowed for continued photosynthesis and produced the highest levels of root and total TNC reserves in seedlings. Increased TNC reserves of aspen planting stock was positively related to height growth after outplanting, with root TNC reserves as high as 33% of dry weight and root:shoot ratios greater than 2 associated with the best growth.","container-title":"Forest Ecology and Management","DOI":"10.1016/j.foreco.2012.03.010","ISSN":"0378-1127","journalAbbreviation":"Forest Ecology and Management","page":"43-51","source":"ScienceDirect","title":"Partitioning of carbon allocation to reserves or growth determines future performance of aspen seedlings","volume":"275","author":[{"family":"Landhäusser","given":"Simon M."},{"family":"Pinno","given":"Bradley D."},{"family":"Lieffers","given":"Victor J."},{"family":"Chow","given":"Pak S."}],"issued":{"date-parts":[["2012",7,1]]}}},{"id":3285,"uris":["http://zotero.org/users/11807912/items/IV3RGBEK"],"itemData":{"id":3285,"type":"article-journal","abstract":"This research examined the first year growth characteristics of cold stored and transplanted nursery-produced aspen (Populus tremuloides) seedlings (container and bareroot (BR)) and compared it to the growth of seedlings that had not been transplanted (established from germinants in the field) and therefore had an unrestricted root system (UR). Prior to planting, nursery-produced seedlings were placed in cold storage (−3°C) and root growth potential (RGP) and total non-structural carbohydrate (TNC) root reserves were tested at 0, 10, 75 and after 150 (container) and 190 days (BR) of storage. Both container and BR stock had much lower root to shoot ratios (RSRs) and root carbohydrate reserves compared to UR seedlings after 170 days. During storage, root reserves in container stock declined faster than in the BR and UR seedlings. RGP in all nursery stock was the highest after 75 days of storage, while longer storage resulted in shoot dieback and reduced root growth. After the first growing season, UR seedlings were one tenth the size of the nursery stock; however, in the second growing season they had no stem dieback and grew twice the height and stem diameter. The higher RSRs and root reserves in the UR seedlings was likely caused by early bud set in its first year of growth. This suggests that inducing bud set earlier in the growing regime might allow seedlings to increase root mass and carbohydrate reserves.","container-title":"New Forests","DOI":"10.1007/s11056-006-9027-2","ISSN":"1573-5095","issue":"3","journalAbbreviation":"New Forests","language":"en","page":"281-295","source":"Springer Link","title":"First-year growth response of cold-stored, nursery-grown aspen planting stock","volume":"33","author":[{"family":"Martens","given":"Lee A."},{"family":"Landhäusser","given":"Simon M."},{"family":"Lieffers","given":"Victor J."}],"issued":{"date-parts":[["2007",5,1]]}}}],"schema":"https://github.com/citation-style-language/schema/raw/master/csl-citation.json"} </w:instrText>
      </w:r>
      <w:r w:rsidR="002E25F3">
        <w:rPr>
          <w:rFonts w:ascii="Times New Roman" w:hAnsi="Times New Roman" w:cs="Times New Roman"/>
        </w:rPr>
        <w:fldChar w:fldCharType="separate"/>
      </w:r>
      <w:r w:rsidR="002E25F3" w:rsidRPr="002E25F3">
        <w:rPr>
          <w:rFonts w:ascii="Times New Roman" w:hAnsi="Times New Roman" w:cs="Times New Roman"/>
          <w:kern w:val="0"/>
          <w:lang w:val="en-US"/>
        </w:rPr>
        <w:t>(</w:t>
      </w:r>
      <w:proofErr w:type="spellStart"/>
      <w:r w:rsidR="002E25F3" w:rsidRPr="002E25F3">
        <w:rPr>
          <w:rFonts w:ascii="Times New Roman" w:hAnsi="Times New Roman" w:cs="Times New Roman"/>
          <w:kern w:val="0"/>
          <w:lang w:val="en-US"/>
        </w:rPr>
        <w:t>Landhäusser</w:t>
      </w:r>
      <w:proofErr w:type="spellEnd"/>
      <w:r w:rsidR="002E25F3" w:rsidRPr="002E25F3">
        <w:rPr>
          <w:rFonts w:ascii="Times New Roman" w:hAnsi="Times New Roman" w:cs="Times New Roman"/>
          <w:kern w:val="0"/>
          <w:lang w:val="en-US"/>
        </w:rPr>
        <w:t xml:space="preserve"> </w:t>
      </w:r>
      <w:r w:rsidR="002E25F3" w:rsidRPr="002E25F3">
        <w:rPr>
          <w:rFonts w:ascii="Times New Roman" w:hAnsi="Times New Roman" w:cs="Times New Roman"/>
          <w:i/>
          <w:iCs/>
          <w:kern w:val="0"/>
          <w:lang w:val="en-US"/>
        </w:rPr>
        <w:t>et al.</w:t>
      </w:r>
      <w:r w:rsidR="002E25F3" w:rsidRPr="002E25F3">
        <w:rPr>
          <w:rFonts w:ascii="Times New Roman" w:hAnsi="Times New Roman" w:cs="Times New Roman"/>
          <w:kern w:val="0"/>
          <w:lang w:val="en-US"/>
        </w:rPr>
        <w:t xml:space="preserve">, 2012 ; Martens </w:t>
      </w:r>
      <w:r w:rsidR="002E25F3" w:rsidRPr="002E25F3">
        <w:rPr>
          <w:rFonts w:ascii="Times New Roman" w:hAnsi="Times New Roman" w:cs="Times New Roman"/>
          <w:i/>
          <w:iCs/>
          <w:kern w:val="0"/>
          <w:lang w:val="en-US"/>
        </w:rPr>
        <w:t>et al.</w:t>
      </w:r>
      <w:r w:rsidR="002E25F3" w:rsidRPr="002E25F3">
        <w:rPr>
          <w:rFonts w:ascii="Times New Roman" w:hAnsi="Times New Roman" w:cs="Times New Roman"/>
          <w:kern w:val="0"/>
          <w:lang w:val="en-US"/>
        </w:rPr>
        <w:t>, 2007)</w:t>
      </w:r>
      <w:r w:rsidR="002E25F3">
        <w:rPr>
          <w:rFonts w:ascii="Times New Roman" w:hAnsi="Times New Roman" w:cs="Times New Roman"/>
        </w:rPr>
        <w:fldChar w:fldCharType="end"/>
      </w:r>
      <w:r w:rsidR="00B76CBA" w:rsidRPr="00ED5F0A">
        <w:rPr>
          <w:rFonts w:ascii="Times New Roman" w:hAnsi="Times New Roman" w:cs="Times New Roman"/>
        </w:rPr>
        <w:t>.</w:t>
      </w:r>
      <w:r w:rsidR="003A7FCE" w:rsidRPr="00ED5F0A">
        <w:rPr>
          <w:rFonts w:ascii="Times New Roman" w:hAnsi="Times New Roman" w:cs="Times New Roman"/>
        </w:rPr>
        <w:t xml:space="preserve"> Thus, species</w:t>
      </w:r>
      <w:r w:rsidR="00B76CBA" w:rsidRPr="00ED5F0A">
        <w:rPr>
          <w:rFonts w:ascii="Times New Roman" w:hAnsi="Times New Roman" w:cs="Times New Roman"/>
        </w:rPr>
        <w:t xml:space="preserve"> capable of accumulating </w:t>
      </w:r>
      <w:r w:rsidR="00194788">
        <w:rPr>
          <w:rFonts w:ascii="Times New Roman" w:hAnsi="Times New Roman" w:cs="Times New Roman"/>
        </w:rPr>
        <w:t>nutrients, like nitrogen,</w:t>
      </w:r>
      <w:r w:rsidR="00194788" w:rsidRPr="00ED5F0A">
        <w:rPr>
          <w:rFonts w:ascii="Times New Roman" w:hAnsi="Times New Roman" w:cs="Times New Roman"/>
        </w:rPr>
        <w:t xml:space="preserve"> </w:t>
      </w:r>
      <w:r w:rsidR="00194788">
        <w:rPr>
          <w:rFonts w:ascii="Times New Roman" w:hAnsi="Times New Roman" w:cs="Times New Roman"/>
        </w:rPr>
        <w:t>a</w:t>
      </w:r>
      <w:r w:rsidR="00B76CBA" w:rsidRPr="00ED5F0A">
        <w:rPr>
          <w:rFonts w:ascii="Times New Roman" w:hAnsi="Times New Roman" w:cs="Times New Roman"/>
        </w:rPr>
        <w:t>fter leaf senescence, might exhibit growth increment in the following growing season</w:t>
      </w:r>
      <w:r w:rsidR="002E25F3">
        <w:rPr>
          <w:rFonts w:ascii="Times New Roman" w:hAnsi="Times New Roman" w:cs="Times New Roman"/>
        </w:rPr>
        <w:t xml:space="preserve"> </w:t>
      </w:r>
      <w:r w:rsidR="002E25F3">
        <w:rPr>
          <w:rFonts w:ascii="Times New Roman" w:hAnsi="Times New Roman" w:cs="Times New Roman"/>
        </w:rPr>
        <w:fldChar w:fldCharType="begin"/>
      </w:r>
      <w:r w:rsidR="002E25F3">
        <w:rPr>
          <w:rFonts w:ascii="Times New Roman" w:hAnsi="Times New Roman" w:cs="Times New Roman"/>
        </w:rPr>
        <w:instrText xml:space="preserve"> ADDIN ZOTERO_ITEM CSL_CITATION {"citationID":"2KJIf42s","properties":{"formattedCitation":"(Schott {\\i{}et al.}, 2013)","plainCitation":"(Schott et al., 2013)","noteIndex":0},"citationItems":[{"id":3280,"uris":["http://zotero.org/users/11807912/items/CR9PQQ7G"],"itemData":{"id":3280,"type":"article-journal","abstract":"Nutrient loading of nursery seedling stock of species with an indeterminate growth strategy is challenging and poorly understood. Here, we explore the use of two potential techniques for nutrient loading of trembling aspen (Populus tremuloides Michx.) seedlings: (1) exponential fertilization and (2) early shoot growth termination in order to divert assimilated nutrients and carbon to storage rather than to growth. In the first study, aspen seedlings were treated with either exponential or constant fertilization rates, both of which supplied the same amount of nutrients over the growing season. Exponential fertilization resulted in overall poor planting stock form (stunted seedling growth and weak root development) and produced only marginal improvements of nutrient status. As a result, the exponential fertilization regime studied cannot be recommended as a treatment for aspen seedlings. In the second study we treated seedlings with a 2 × 2 factorial combination of fertilization and shoot growth inhibitor (SGI) applications with the fertilizer treatments varying in terms of mid-season fertilizer concentrations. Seedlings with SGI application had much higher tissue nutrient and carbon reserve concentrations than seedlings without a SGI application. In addition, nutrient uptake appeared to be more efficient in SGI treated seedlings, which could potentially result in significant reductions of nutrient application rates during aspen seedling production in nurseries. Overall, early shoot growth termination using a SGI appears to be an effective technique to produce nutrient loaded aspen seedlings.","container-title":"New Forests","DOI":"10.1007/s11056-013-9373-9","ISSN":"1573-5095","issue":"5","journalAbbreviation":"New Forests","language":"en","page":"635-647","source":"Springer Link","title":"Premature shoot growth termination allows nutrient loading of seedlings with an indeterminate growth strategy","volume":"44","author":[{"family":"Schott","given":"Kaitlin M."},{"family":"Pinno","given":"Bradley D."},{"family":"Landhäusser","given":"Simon M."}],"issued":{"date-parts":[["2013",9,1]]}}}],"schema":"https://github.com/citation-style-language/schema/raw/master/csl-citation.json"} </w:instrText>
      </w:r>
      <w:r w:rsidR="002E25F3">
        <w:rPr>
          <w:rFonts w:ascii="Times New Roman" w:hAnsi="Times New Roman" w:cs="Times New Roman"/>
        </w:rPr>
        <w:fldChar w:fldCharType="separate"/>
      </w:r>
      <w:r w:rsidR="002E25F3" w:rsidRPr="002E25F3">
        <w:rPr>
          <w:rFonts w:ascii="Times New Roman" w:hAnsi="Times New Roman" w:cs="Times New Roman"/>
          <w:kern w:val="0"/>
          <w:lang w:val="en-US"/>
        </w:rPr>
        <w:t xml:space="preserve">(Schott </w:t>
      </w:r>
      <w:r w:rsidR="002E25F3" w:rsidRPr="002E25F3">
        <w:rPr>
          <w:rFonts w:ascii="Times New Roman" w:hAnsi="Times New Roman" w:cs="Times New Roman"/>
          <w:i/>
          <w:iCs/>
          <w:kern w:val="0"/>
          <w:lang w:val="en-US"/>
        </w:rPr>
        <w:t>et al.</w:t>
      </w:r>
      <w:r w:rsidR="002E25F3" w:rsidRPr="002E25F3">
        <w:rPr>
          <w:rFonts w:ascii="Times New Roman" w:hAnsi="Times New Roman" w:cs="Times New Roman"/>
          <w:kern w:val="0"/>
          <w:lang w:val="en-US"/>
        </w:rPr>
        <w:t>, 2013)</w:t>
      </w:r>
      <w:r w:rsidR="002E25F3">
        <w:rPr>
          <w:rFonts w:ascii="Times New Roman" w:hAnsi="Times New Roman" w:cs="Times New Roman"/>
        </w:rPr>
        <w:fldChar w:fldCharType="end"/>
      </w:r>
      <w:r w:rsidR="00B76CBA" w:rsidRPr="00ED5F0A">
        <w:rPr>
          <w:rFonts w:ascii="Times New Roman" w:hAnsi="Times New Roman" w:cs="Times New Roman"/>
        </w:rPr>
        <w:t>.</w:t>
      </w:r>
      <w:r w:rsidR="00404695" w:rsidRPr="00ED5F0A">
        <w:rPr>
          <w:rFonts w:ascii="Times New Roman" w:hAnsi="Times New Roman" w:cs="Times New Roman"/>
        </w:rPr>
        <w:t xml:space="preserve"> </w:t>
      </w:r>
    </w:p>
    <w:p w14:paraId="11536836" w14:textId="51986DB4" w:rsidR="00F90309" w:rsidRPr="00194788" w:rsidRDefault="000E7FC6" w:rsidP="00397017">
      <w:pPr>
        <w:spacing w:before="240"/>
        <w:jc w:val="both"/>
        <w:rPr>
          <w:rFonts w:ascii="Times New Roman" w:hAnsi="Times New Roman" w:cs="Times New Roman"/>
          <w:b/>
          <w:bCs/>
        </w:rPr>
      </w:pPr>
      <w:r w:rsidRPr="00ED5F0A">
        <w:rPr>
          <w:rFonts w:ascii="Times New Roman" w:hAnsi="Times New Roman" w:cs="Times New Roman"/>
          <w:b/>
          <w:bCs/>
        </w:rPr>
        <w:t>Objectives</w:t>
      </w:r>
      <w:r w:rsidR="00194788">
        <w:rPr>
          <w:rFonts w:ascii="Times New Roman" w:hAnsi="Times New Roman" w:cs="Times New Roman"/>
          <w:b/>
          <w:bCs/>
        </w:rPr>
        <w:t xml:space="preserve">: </w:t>
      </w:r>
      <w:r w:rsidR="006A03F2" w:rsidRPr="00ED5F0A">
        <w:rPr>
          <w:rFonts w:ascii="Times New Roman" w:hAnsi="Times New Roman" w:cs="Times New Roman"/>
        </w:rPr>
        <w:t>First, I aim to a</w:t>
      </w:r>
      <w:r w:rsidR="00B76CBA" w:rsidRPr="00ED5F0A">
        <w:rPr>
          <w:rFonts w:ascii="Times New Roman" w:hAnsi="Times New Roman" w:cs="Times New Roman"/>
        </w:rPr>
        <w:t>ssess the</w:t>
      </w:r>
      <w:r w:rsidR="00881240" w:rsidRPr="00ED5F0A">
        <w:rPr>
          <w:rFonts w:ascii="Times New Roman" w:hAnsi="Times New Roman" w:cs="Times New Roman"/>
        </w:rPr>
        <w:t xml:space="preserve"> trees’ innate potential to prolong or stretch their activity schedule</w:t>
      </w:r>
      <w:r w:rsidR="00B76CBA" w:rsidRPr="00ED5F0A">
        <w:rPr>
          <w:rFonts w:ascii="Times New Roman" w:hAnsi="Times New Roman" w:cs="Times New Roman"/>
        </w:rPr>
        <w:t>.</w:t>
      </w:r>
      <w:r w:rsidR="006A03F2" w:rsidRPr="00ED5F0A">
        <w:rPr>
          <w:rFonts w:ascii="Times New Roman" w:hAnsi="Times New Roman" w:cs="Times New Roman"/>
        </w:rPr>
        <w:t xml:space="preserve"> Second, I will d</w:t>
      </w:r>
      <w:r w:rsidR="00F90309" w:rsidRPr="00ED5F0A">
        <w:rPr>
          <w:rFonts w:ascii="Times New Roman" w:hAnsi="Times New Roman" w:cs="Times New Roman"/>
        </w:rPr>
        <w:t xml:space="preserve">etermine whether trees can </w:t>
      </w:r>
      <w:r w:rsidR="00B76CBA" w:rsidRPr="00ED5F0A">
        <w:rPr>
          <w:rFonts w:ascii="Times New Roman" w:hAnsi="Times New Roman" w:cs="Times New Roman"/>
        </w:rPr>
        <w:t>absorb</w:t>
      </w:r>
      <w:r w:rsidR="00F90309" w:rsidRPr="00ED5F0A">
        <w:rPr>
          <w:rFonts w:ascii="Times New Roman" w:hAnsi="Times New Roman" w:cs="Times New Roman"/>
        </w:rPr>
        <w:t xml:space="preserve"> nutrients </w:t>
      </w:r>
      <w:r w:rsidR="006A03F2" w:rsidRPr="00ED5F0A">
        <w:rPr>
          <w:rFonts w:ascii="Times New Roman" w:hAnsi="Times New Roman" w:cs="Times New Roman"/>
        </w:rPr>
        <w:t xml:space="preserve">beyond their </w:t>
      </w:r>
      <w:r w:rsidR="00F90309" w:rsidRPr="00ED5F0A">
        <w:rPr>
          <w:rFonts w:ascii="Times New Roman" w:hAnsi="Times New Roman" w:cs="Times New Roman"/>
        </w:rPr>
        <w:t>theoretical growing season.</w:t>
      </w:r>
      <w:r w:rsidR="00714313" w:rsidRPr="00ED5F0A">
        <w:rPr>
          <w:rFonts w:ascii="Times New Roman" w:hAnsi="Times New Roman" w:cs="Times New Roman"/>
        </w:rPr>
        <w:t xml:space="preserve"> </w:t>
      </w:r>
      <w:r w:rsidR="00404695" w:rsidRPr="00ED5F0A">
        <w:rPr>
          <w:rFonts w:ascii="Times New Roman" w:hAnsi="Times New Roman" w:cs="Times New Roman"/>
        </w:rPr>
        <w:t xml:space="preserve">I will </w:t>
      </w:r>
      <w:r w:rsidR="001B71C1">
        <w:rPr>
          <w:rFonts w:ascii="Times New Roman" w:hAnsi="Times New Roman" w:cs="Times New Roman"/>
        </w:rPr>
        <w:t xml:space="preserve">also </w:t>
      </w:r>
      <w:r w:rsidR="00404695" w:rsidRPr="00ED5F0A">
        <w:rPr>
          <w:rFonts w:ascii="Times New Roman" w:hAnsi="Times New Roman" w:cs="Times New Roman"/>
        </w:rPr>
        <w:t xml:space="preserve">examine </w:t>
      </w:r>
      <w:r w:rsidR="00714313" w:rsidRPr="00ED5F0A">
        <w:rPr>
          <w:rFonts w:ascii="Times New Roman" w:hAnsi="Times New Roman" w:cs="Times New Roman"/>
        </w:rPr>
        <w:t xml:space="preserve">if increased </w:t>
      </w:r>
      <w:r w:rsidR="00E120A4" w:rsidRPr="00ED5F0A">
        <w:rPr>
          <w:rFonts w:ascii="Times New Roman" w:hAnsi="Times New Roman" w:cs="Times New Roman"/>
        </w:rPr>
        <w:t xml:space="preserve">carbon </w:t>
      </w:r>
      <w:r w:rsidR="00714313" w:rsidRPr="00ED5F0A">
        <w:rPr>
          <w:rFonts w:ascii="Times New Roman" w:hAnsi="Times New Roman" w:cs="Times New Roman"/>
        </w:rPr>
        <w:t xml:space="preserve">storage pools translate into growth </w:t>
      </w:r>
      <w:r w:rsidR="00DA6AAA" w:rsidRPr="00ED5F0A">
        <w:rPr>
          <w:rFonts w:ascii="Times New Roman" w:hAnsi="Times New Roman" w:cs="Times New Roman"/>
        </w:rPr>
        <w:t xml:space="preserve">increment </w:t>
      </w:r>
      <w:r w:rsidR="00714313" w:rsidRPr="00ED5F0A">
        <w:rPr>
          <w:rFonts w:ascii="Times New Roman" w:hAnsi="Times New Roman" w:cs="Times New Roman"/>
        </w:rPr>
        <w:t>in the following growing seas</w:t>
      </w:r>
      <w:r w:rsidR="00404695" w:rsidRPr="00ED5F0A">
        <w:rPr>
          <w:rFonts w:ascii="Times New Roman" w:hAnsi="Times New Roman" w:cs="Times New Roman"/>
        </w:rPr>
        <w:t xml:space="preserve">on. </w:t>
      </w:r>
      <w:r w:rsidR="00E03B56" w:rsidRPr="000C3903">
        <w:rPr>
          <w:rFonts w:ascii="Times New Roman" w:hAnsi="Times New Roman" w:cs="Times New Roman"/>
          <w:highlight w:val="yellow"/>
        </w:rPr>
        <w:t>Finally, I will investigate potential variations in these responses across deciduous and evergreen tree species, aiming to discern whether different patterns emerge within these distinct groups.</w:t>
      </w:r>
    </w:p>
    <w:p w14:paraId="56A69525" w14:textId="398FEC31" w:rsidR="00397017" w:rsidRPr="00397017" w:rsidRDefault="00A15198" w:rsidP="00397017">
      <w:pPr>
        <w:spacing w:before="240"/>
        <w:jc w:val="both"/>
        <w:rPr>
          <w:rFonts w:ascii="Times New Roman" w:hAnsi="Times New Roman" w:cs="Times New Roman"/>
        </w:rPr>
      </w:pPr>
      <w:r w:rsidRPr="00ED5F0A">
        <w:rPr>
          <w:rFonts w:ascii="Times New Roman" w:hAnsi="Times New Roman" w:cs="Times New Roman"/>
          <w:b/>
          <w:bCs/>
        </w:rPr>
        <w:t>Methodology</w:t>
      </w:r>
      <w:r w:rsidR="00194788">
        <w:rPr>
          <w:rFonts w:ascii="Times New Roman" w:hAnsi="Times New Roman" w:cs="Times New Roman"/>
          <w:b/>
          <w:bCs/>
        </w:rPr>
        <w:t xml:space="preserve">: </w:t>
      </w:r>
      <w:r w:rsidR="00397017" w:rsidRPr="000C3903">
        <w:rPr>
          <w:rFonts w:ascii="Times New Roman" w:hAnsi="Times New Roman" w:cs="Times New Roman"/>
          <w:highlight w:val="yellow"/>
        </w:rPr>
        <w:t xml:space="preserve">To investigate the impact of manipulated spring and autumn temperatures on phenological responses, I will conduct experiments across nine different tree species under controlled conditions. For deciduous trees, I will select seven species characterized by fast and short-life strategies (e.g., </w:t>
      </w:r>
      <w:r w:rsidR="00397017" w:rsidRPr="000C3903">
        <w:rPr>
          <w:rFonts w:ascii="Times New Roman" w:hAnsi="Times New Roman" w:cs="Times New Roman"/>
          <w:i/>
          <w:iCs/>
          <w:highlight w:val="yellow"/>
        </w:rPr>
        <w:t>Alnus rubra</w:t>
      </w:r>
      <w:r w:rsidR="00397017" w:rsidRPr="000C3903">
        <w:rPr>
          <w:rFonts w:ascii="Times New Roman" w:hAnsi="Times New Roman" w:cs="Times New Roman"/>
          <w:highlight w:val="yellow"/>
        </w:rPr>
        <w:t xml:space="preserve">) as well as slow growth and longer lifespan species (e.g., </w:t>
      </w:r>
      <w:r w:rsidR="00397017" w:rsidRPr="000C3903">
        <w:rPr>
          <w:rFonts w:ascii="Times New Roman" w:hAnsi="Times New Roman" w:cs="Times New Roman"/>
          <w:i/>
          <w:iCs/>
          <w:highlight w:val="yellow"/>
        </w:rPr>
        <w:t>Quercus macrocarpa</w:t>
      </w:r>
      <w:r w:rsidR="00397017" w:rsidRPr="000C3903">
        <w:rPr>
          <w:rFonts w:ascii="Times New Roman" w:hAnsi="Times New Roman" w:cs="Times New Roman"/>
          <w:highlight w:val="yellow"/>
        </w:rPr>
        <w:t>).</w:t>
      </w:r>
      <w:r w:rsidR="00397017" w:rsidRPr="00397017">
        <w:rPr>
          <w:rFonts w:ascii="Times New Roman" w:hAnsi="Times New Roman" w:cs="Times New Roman"/>
        </w:rPr>
        <w:t xml:space="preserve"> </w:t>
      </w:r>
      <w:r w:rsidR="00E03B56" w:rsidRPr="000C3903">
        <w:rPr>
          <w:rFonts w:ascii="Times New Roman" w:hAnsi="Times New Roman" w:cs="Times New Roman"/>
          <w:highlight w:val="yellow"/>
        </w:rPr>
        <w:t xml:space="preserve">Since phenological monitoring is more </w:t>
      </w:r>
      <w:r w:rsidR="008E4ADF" w:rsidRPr="000C3903">
        <w:rPr>
          <w:rFonts w:ascii="Times New Roman" w:hAnsi="Times New Roman" w:cs="Times New Roman"/>
          <w:highlight w:val="yellow"/>
        </w:rPr>
        <w:t>difficult and trends are less likely to be observed</w:t>
      </w:r>
      <w:r w:rsidR="00E03B56" w:rsidRPr="000C3903">
        <w:rPr>
          <w:rFonts w:ascii="Times New Roman" w:hAnsi="Times New Roman" w:cs="Times New Roman"/>
          <w:highlight w:val="yellow"/>
        </w:rPr>
        <w:t xml:space="preserve"> for evergreen</w:t>
      </w:r>
      <w:r w:rsidR="008F6962" w:rsidRPr="000C3903">
        <w:rPr>
          <w:rFonts w:ascii="Times New Roman" w:hAnsi="Times New Roman" w:cs="Times New Roman"/>
          <w:highlight w:val="yellow"/>
        </w:rPr>
        <w:t xml:space="preserve"> trees, only two </w:t>
      </w:r>
      <w:r w:rsidR="008F0058" w:rsidRPr="000C3903">
        <w:rPr>
          <w:rFonts w:ascii="Times New Roman" w:hAnsi="Times New Roman" w:cs="Times New Roman"/>
          <w:highlight w:val="yellow"/>
        </w:rPr>
        <w:t>of the</w:t>
      </w:r>
      <w:r w:rsidR="008F6962" w:rsidRPr="000C3903">
        <w:rPr>
          <w:rFonts w:ascii="Times New Roman" w:hAnsi="Times New Roman" w:cs="Times New Roman"/>
          <w:highlight w:val="yellow"/>
        </w:rPr>
        <w:t xml:space="preserve"> nine species will be </w:t>
      </w:r>
      <w:r w:rsidR="008E4ADF" w:rsidRPr="000C3903">
        <w:rPr>
          <w:rFonts w:ascii="Times New Roman" w:hAnsi="Times New Roman" w:cs="Times New Roman"/>
          <w:highlight w:val="yellow"/>
        </w:rPr>
        <w:t>conifers</w:t>
      </w:r>
      <w:r w:rsidR="00397017" w:rsidRPr="000C3903">
        <w:rPr>
          <w:rFonts w:ascii="Times New Roman" w:hAnsi="Times New Roman" w:cs="Times New Roman"/>
          <w:highlight w:val="yellow"/>
        </w:rPr>
        <w:t xml:space="preserve"> </w:t>
      </w:r>
      <w:r w:rsidR="00397017" w:rsidRPr="000C3903">
        <w:rPr>
          <w:rFonts w:ascii="Times New Roman" w:hAnsi="Times New Roman" w:cs="Times New Roman"/>
          <w:highlight w:val="yellow"/>
        </w:rPr>
        <w:fldChar w:fldCharType="begin"/>
      </w:r>
      <w:r w:rsidR="00397017" w:rsidRPr="000C3903">
        <w:rPr>
          <w:rFonts w:ascii="Times New Roman" w:hAnsi="Times New Roman" w:cs="Times New Roman"/>
          <w:highlight w:val="yellow"/>
        </w:rPr>
        <w:instrText xml:space="preserve"> ADDIN ZOTERO_ITEM CSL_CITATION {"citationID":"wqTaQMCW","properties":{"formattedCitation":"(J\\uc0\\u246{}nsson {\\i{}et al.}, 2010)","plainCitation":"(Jönsson et al., 2010)","noteIndex":0},"citationItems":[{"id":3287,"uris":["http://zotero.org/users/11807912/items/IN5UGAW2"],"itemData":{"id":3287,"type":"article-journal","abstract":"Remote sensing provides spatially and temporally continuous measures of forest reflectance, and vegetation indices calculated from satellite data can be useful for monitoring climate change impacts on forest tree phenology. Monitoring of evergreen coniferous forest is more difficult than monitoring of deciduous forest, as the new buds only account for a small proportion of the green biomass, and the shoot elongation process is relatively slow. In this study, we have analyzed data from 186 coniferous monitoring sites in Sweden covering boreal, southern-boreal, and boreo-nemoral conditions. Our objective was to examine the possibility to track seasonal changes in coniferous forests by time-series of MODIS eight-day vegetation indices, testing the coherence between satellite monitored vegetation indices (VI) and temperature dependent phenology. The relationships between two vegetation indices (NDVI and WDRVI) and four phenological indicators (length of snow season, modeled onset of vegetation period, tree cold hardiness level and timing of budburst) were analyzed. The annual curves produced by two curve fitting methods for smoothening of seasonal changes in NDVI and WDRVI were to a large extent characterized by the occurrence of snow, producing stable seasonal oscillations in the northern part and irregular curves with less pronounced annual amplitude in the southern part of the country. Measures based on threshold values of the VI-curves, commonly used for determining the timing of different phenological phases, were not applicable for Swedish coniferous forests. Evergreen vegetation does not have a sharp increase in greenness during spring, and the melting of snow can influence the vegetation indices at the timing of budburst in boreal forests. However, the interannual variation in VI-values for specific eight-day periods was correlated with the phenological indicators. This relation can be used for satellite monitoring of potential climate change impacts on northern coniferous spring phenology.","container-title":"Remote Sensing of Environment","DOI":"10.1016/j.rse.2010.06.005","ISSN":"0034-4257","issue":"11","journalAbbreviation":"Remote Sensing of Environment","page":"2719-2730","source":"ScienceDirect","title":"Annual changes in MODIS vegetation indices of Swedish coniferous forests in relation to snow dynamics and tree phenology","volume":"114","author":[{"family":"Jönsson","given":"A. M."},{"family":"Eklundh","given":"L."},{"family":"Hellström","given":"M."},{"family":"Bärring","given":"L."},{"family":"Jönsson","given":"P."}],"issued":{"date-parts":[["2010",11,15]]}}}],"schema":"https://github.com/citation-style-language/schema/raw/master/csl-citation.json"} </w:instrText>
      </w:r>
      <w:r w:rsidR="00397017" w:rsidRPr="000C3903">
        <w:rPr>
          <w:rFonts w:ascii="Times New Roman" w:hAnsi="Times New Roman" w:cs="Times New Roman"/>
          <w:highlight w:val="yellow"/>
        </w:rPr>
        <w:fldChar w:fldCharType="separate"/>
      </w:r>
      <w:r w:rsidR="00397017" w:rsidRPr="000C3903">
        <w:rPr>
          <w:rFonts w:ascii="Times New Roman" w:hAnsi="Times New Roman" w:cs="Times New Roman"/>
          <w:kern w:val="0"/>
          <w:highlight w:val="yellow"/>
          <w:lang w:val="en-US"/>
        </w:rPr>
        <w:t>(</w:t>
      </w:r>
      <w:proofErr w:type="spellStart"/>
      <w:r w:rsidR="00397017" w:rsidRPr="000C3903">
        <w:rPr>
          <w:rFonts w:ascii="Times New Roman" w:hAnsi="Times New Roman" w:cs="Times New Roman"/>
          <w:kern w:val="0"/>
          <w:highlight w:val="yellow"/>
          <w:lang w:val="en-US"/>
        </w:rPr>
        <w:t>Jönsson</w:t>
      </w:r>
      <w:proofErr w:type="spellEnd"/>
      <w:r w:rsidR="00397017" w:rsidRPr="000C3903">
        <w:rPr>
          <w:rFonts w:ascii="Times New Roman" w:hAnsi="Times New Roman" w:cs="Times New Roman"/>
          <w:kern w:val="0"/>
          <w:highlight w:val="yellow"/>
          <w:lang w:val="en-US"/>
        </w:rPr>
        <w:t xml:space="preserve"> </w:t>
      </w:r>
      <w:r w:rsidR="00397017" w:rsidRPr="000C3903">
        <w:rPr>
          <w:rFonts w:ascii="Times New Roman" w:hAnsi="Times New Roman" w:cs="Times New Roman"/>
          <w:i/>
          <w:iCs/>
          <w:kern w:val="0"/>
          <w:highlight w:val="yellow"/>
          <w:lang w:val="en-US"/>
        </w:rPr>
        <w:t>et al.</w:t>
      </w:r>
      <w:r w:rsidR="00397017" w:rsidRPr="000C3903">
        <w:rPr>
          <w:rFonts w:ascii="Times New Roman" w:hAnsi="Times New Roman" w:cs="Times New Roman"/>
          <w:kern w:val="0"/>
          <w:highlight w:val="yellow"/>
          <w:lang w:val="en-US"/>
        </w:rPr>
        <w:t>, 2010)</w:t>
      </w:r>
      <w:r w:rsidR="00397017" w:rsidRPr="000C3903">
        <w:rPr>
          <w:rFonts w:ascii="Times New Roman" w:hAnsi="Times New Roman" w:cs="Times New Roman"/>
          <w:highlight w:val="yellow"/>
        </w:rPr>
        <w:fldChar w:fldCharType="end"/>
      </w:r>
      <w:r w:rsidR="008E4ADF" w:rsidRPr="000C3903">
        <w:rPr>
          <w:rFonts w:ascii="Times New Roman" w:hAnsi="Times New Roman" w:cs="Times New Roman"/>
          <w:highlight w:val="yellow"/>
        </w:rPr>
        <w:t>.</w:t>
      </w:r>
      <w:r w:rsidR="00E03B56">
        <w:rPr>
          <w:rFonts w:ascii="Times New Roman" w:hAnsi="Times New Roman" w:cs="Times New Roman"/>
        </w:rPr>
        <w:t xml:space="preserve"> </w:t>
      </w:r>
      <w:r w:rsidR="00F86DF4" w:rsidRPr="00ED5F0A">
        <w:rPr>
          <w:rFonts w:ascii="Times New Roman" w:hAnsi="Times New Roman" w:cs="Times New Roman"/>
        </w:rPr>
        <w:t>I</w:t>
      </w:r>
      <w:r w:rsidR="009070BD" w:rsidRPr="00ED5F0A">
        <w:rPr>
          <w:rFonts w:ascii="Times New Roman" w:hAnsi="Times New Roman" w:cs="Times New Roman"/>
        </w:rPr>
        <w:t xml:space="preserve"> plan four treatments:</w:t>
      </w:r>
      <w:r w:rsidR="00881240" w:rsidRPr="00ED5F0A">
        <w:rPr>
          <w:rFonts w:ascii="Times New Roman" w:hAnsi="Times New Roman" w:cs="Times New Roman"/>
        </w:rPr>
        <w:t xml:space="preserve"> spring or autumn warming</w:t>
      </w:r>
      <w:r w:rsidR="00DA6AAA" w:rsidRPr="00ED5F0A">
        <w:rPr>
          <w:rFonts w:ascii="Times New Roman" w:hAnsi="Times New Roman" w:cs="Times New Roman"/>
        </w:rPr>
        <w:t>,</w:t>
      </w:r>
      <w:r w:rsidR="00881240" w:rsidRPr="00ED5F0A">
        <w:rPr>
          <w:rFonts w:ascii="Times New Roman" w:hAnsi="Times New Roman" w:cs="Times New Roman"/>
        </w:rPr>
        <w:t xml:space="preserve"> or both</w:t>
      </w:r>
      <w:r w:rsidR="00DA6AAA" w:rsidRPr="00ED5F0A">
        <w:rPr>
          <w:rFonts w:ascii="Times New Roman" w:hAnsi="Times New Roman" w:cs="Times New Roman"/>
        </w:rPr>
        <w:t>,</w:t>
      </w:r>
      <w:r w:rsidR="00881240" w:rsidRPr="00ED5F0A">
        <w:rPr>
          <w:rFonts w:ascii="Times New Roman" w:hAnsi="Times New Roman" w:cs="Times New Roman"/>
        </w:rPr>
        <w:t xml:space="preserve"> and a control. </w:t>
      </w:r>
      <w:r w:rsidR="006A03F2" w:rsidRPr="00ED5F0A">
        <w:rPr>
          <w:rFonts w:ascii="Times New Roman" w:hAnsi="Times New Roman" w:cs="Times New Roman"/>
        </w:rPr>
        <w:t>For the nutrient enrichment treatment, liquid nutrients will be administered to the treatment trees</w:t>
      </w:r>
      <w:r w:rsidR="008F0058">
        <w:rPr>
          <w:rFonts w:ascii="Times New Roman" w:hAnsi="Times New Roman" w:cs="Times New Roman"/>
        </w:rPr>
        <w:t xml:space="preserve"> </w:t>
      </w:r>
      <w:r w:rsidR="008F0058" w:rsidRPr="000C3903">
        <w:rPr>
          <w:rFonts w:ascii="Times New Roman" w:hAnsi="Times New Roman" w:cs="Times New Roman"/>
          <w:highlight w:val="yellow"/>
        </w:rPr>
        <w:t>with regular and warm</w:t>
      </w:r>
      <w:r w:rsidR="000C3903">
        <w:rPr>
          <w:rFonts w:ascii="Times New Roman" w:hAnsi="Times New Roman" w:cs="Times New Roman"/>
          <w:highlight w:val="yellow"/>
        </w:rPr>
        <w:t>er</w:t>
      </w:r>
      <w:r w:rsidR="008F0058" w:rsidRPr="000C3903">
        <w:rPr>
          <w:rFonts w:ascii="Times New Roman" w:hAnsi="Times New Roman" w:cs="Times New Roman"/>
          <w:highlight w:val="yellow"/>
        </w:rPr>
        <w:t xml:space="preserve"> autumn temperature</w:t>
      </w:r>
      <w:r w:rsidR="008F0058">
        <w:rPr>
          <w:rFonts w:ascii="Times New Roman" w:hAnsi="Times New Roman" w:cs="Times New Roman"/>
        </w:rPr>
        <w:t>.</w:t>
      </w:r>
      <w:r w:rsidR="00F90309" w:rsidRPr="00ED5F0A">
        <w:rPr>
          <w:rFonts w:ascii="Times New Roman" w:hAnsi="Times New Roman" w:cs="Times New Roman"/>
        </w:rPr>
        <w:t xml:space="preserve"> </w:t>
      </w:r>
      <w:r w:rsidR="00397017" w:rsidRPr="006630F0">
        <w:rPr>
          <w:rFonts w:ascii="Times New Roman" w:hAnsi="Times New Roman" w:cs="Times New Roman"/>
          <w:highlight w:val="yellow"/>
        </w:rPr>
        <w:t xml:space="preserve">Given the variability in phenological responses, I </w:t>
      </w:r>
      <w:r w:rsidR="00397017" w:rsidRPr="006630F0">
        <w:rPr>
          <w:rFonts w:ascii="Times New Roman" w:hAnsi="Times New Roman" w:cs="Times New Roman"/>
          <w:highlight w:val="yellow"/>
        </w:rPr>
        <w:t xml:space="preserve">plan on having </w:t>
      </w:r>
      <w:r w:rsidR="00397017" w:rsidRPr="006630F0">
        <w:rPr>
          <w:rFonts w:ascii="Times New Roman" w:hAnsi="Times New Roman" w:cs="Times New Roman"/>
          <w:highlight w:val="yellow"/>
        </w:rPr>
        <w:t>a minimum of 10 replicates per species, adhering to the standards in tree phenological monitoring, which generally require 5-10 replicates</w:t>
      </w:r>
      <w:r w:rsidR="00397017" w:rsidRPr="006630F0">
        <w:rPr>
          <w:rFonts w:ascii="Times New Roman" w:hAnsi="Times New Roman" w:cs="Times New Roman"/>
          <w:highlight w:val="yellow"/>
        </w:rPr>
        <w:t xml:space="preserve"> </w:t>
      </w:r>
      <w:r w:rsidR="00397017" w:rsidRPr="006630F0">
        <w:rPr>
          <w:rFonts w:ascii="Times New Roman" w:hAnsi="Times New Roman" w:cs="Times New Roman"/>
          <w:highlight w:val="yellow"/>
        </w:rPr>
        <w:fldChar w:fldCharType="begin"/>
      </w:r>
      <w:r w:rsidR="00397017" w:rsidRPr="006630F0">
        <w:rPr>
          <w:rFonts w:ascii="Times New Roman" w:hAnsi="Times New Roman" w:cs="Times New Roman"/>
          <w:highlight w:val="yellow"/>
        </w:rPr>
        <w:instrText xml:space="preserve"> ADDIN ZOTERO_ITEM CSL_CITATION {"citationID":"XBRgmsPU","properties":{"formattedCitation":"(Siegel, 2009)","plainCitation":"(Siegel, 2009)","noteIndex":0},"citationItems":[{"id":3278,"uris":["http://zotero.org/users/11807912/items/RYS86UA3"],"itemData":{"id":3278,"type":"article-journal","container-title":"Pace Environmental Law Review","journalAbbreviation":"Pace Envtl. L. Rev.","page":"257","title":"Collaborative Decision Making on Climate Change in the Federal Government","volume":"27","author":[{"family":"Siegel","given":"Joseph A."}],"issued":{"date-parts":[["2009"]],"season":"2010"}}}],"schema":"https://github.com/citation-style-language/schema/raw/master/csl-citation.json"} </w:instrText>
      </w:r>
      <w:r w:rsidR="00397017" w:rsidRPr="006630F0">
        <w:rPr>
          <w:rFonts w:ascii="Times New Roman" w:hAnsi="Times New Roman" w:cs="Times New Roman"/>
          <w:highlight w:val="yellow"/>
        </w:rPr>
        <w:fldChar w:fldCharType="separate"/>
      </w:r>
      <w:r w:rsidR="00397017" w:rsidRPr="006630F0">
        <w:rPr>
          <w:rFonts w:ascii="Times New Roman" w:hAnsi="Times New Roman" w:cs="Times New Roman"/>
          <w:noProof/>
          <w:highlight w:val="yellow"/>
        </w:rPr>
        <w:t>(Siegel, 2009)</w:t>
      </w:r>
      <w:r w:rsidR="00397017" w:rsidRPr="006630F0">
        <w:rPr>
          <w:rFonts w:ascii="Times New Roman" w:hAnsi="Times New Roman" w:cs="Times New Roman"/>
          <w:highlight w:val="yellow"/>
        </w:rPr>
        <w:fldChar w:fldCharType="end"/>
      </w:r>
      <w:r w:rsidR="00397017" w:rsidRPr="006630F0">
        <w:rPr>
          <w:rFonts w:ascii="Times New Roman" w:hAnsi="Times New Roman" w:cs="Times New Roman"/>
          <w:highlight w:val="yellow"/>
        </w:rPr>
        <w:t>.</w:t>
      </w:r>
    </w:p>
    <w:p w14:paraId="4C1AEBFE" w14:textId="57EBCC8D" w:rsidR="006A03F2" w:rsidRPr="00ED5F0A" w:rsidRDefault="006A03F2" w:rsidP="00397017">
      <w:pPr>
        <w:spacing w:before="240"/>
        <w:jc w:val="both"/>
        <w:rPr>
          <w:rFonts w:ascii="Times New Roman" w:hAnsi="Times New Roman" w:cs="Times New Roman"/>
        </w:rPr>
      </w:pPr>
      <w:r w:rsidRPr="00ED5F0A">
        <w:rPr>
          <w:rFonts w:ascii="Times New Roman" w:hAnsi="Times New Roman" w:cs="Times New Roman"/>
        </w:rPr>
        <w:t xml:space="preserve">Throughout the summer of 2024, </w:t>
      </w:r>
      <w:r w:rsidR="009070BD" w:rsidRPr="00ED5F0A">
        <w:rPr>
          <w:rFonts w:ascii="Times New Roman" w:hAnsi="Times New Roman" w:cs="Times New Roman"/>
        </w:rPr>
        <w:t xml:space="preserve">I </w:t>
      </w:r>
      <w:r w:rsidRPr="00ED5F0A">
        <w:rPr>
          <w:rFonts w:ascii="Times New Roman" w:hAnsi="Times New Roman" w:cs="Times New Roman"/>
        </w:rPr>
        <w:t xml:space="preserve">will continuously monitor radial growth using magnetic </w:t>
      </w:r>
      <w:r w:rsidR="009070BD" w:rsidRPr="00ED5F0A">
        <w:rPr>
          <w:rFonts w:ascii="Times New Roman" w:hAnsi="Times New Roman" w:cs="Times New Roman"/>
        </w:rPr>
        <w:t>micro-</w:t>
      </w:r>
      <w:r w:rsidR="00182F3F" w:rsidRPr="00ED5F0A">
        <w:rPr>
          <w:rFonts w:ascii="Times New Roman" w:hAnsi="Times New Roman" w:cs="Times New Roman"/>
        </w:rPr>
        <w:t>dendrometers and</w:t>
      </w:r>
      <w:r w:rsidR="009070BD" w:rsidRPr="00ED5F0A">
        <w:rPr>
          <w:rFonts w:ascii="Times New Roman" w:hAnsi="Times New Roman" w:cs="Times New Roman"/>
        </w:rPr>
        <w:t xml:space="preserve"> </w:t>
      </w:r>
      <w:r w:rsidR="002465D9">
        <w:rPr>
          <w:rFonts w:ascii="Times New Roman" w:hAnsi="Times New Roman" w:cs="Times New Roman"/>
        </w:rPr>
        <w:t>track</w:t>
      </w:r>
      <w:r w:rsidR="009070BD" w:rsidRPr="00ED5F0A">
        <w:rPr>
          <w:rFonts w:ascii="Times New Roman" w:hAnsi="Times New Roman" w:cs="Times New Roman"/>
        </w:rPr>
        <w:t xml:space="preserve"> </w:t>
      </w:r>
      <w:r w:rsidRPr="00ED5F0A">
        <w:rPr>
          <w:rFonts w:ascii="Times New Roman" w:hAnsi="Times New Roman" w:cs="Times New Roman"/>
        </w:rPr>
        <w:t>phenolog</w:t>
      </w:r>
      <w:r w:rsidR="009070BD" w:rsidRPr="00ED5F0A">
        <w:rPr>
          <w:rFonts w:ascii="Times New Roman" w:hAnsi="Times New Roman" w:cs="Times New Roman"/>
        </w:rPr>
        <w:t>y every 2-3 days</w:t>
      </w:r>
      <w:r w:rsidRPr="00ED5F0A">
        <w:rPr>
          <w:rFonts w:ascii="Times New Roman" w:hAnsi="Times New Roman" w:cs="Times New Roman"/>
        </w:rPr>
        <w:t xml:space="preserve">. In </w:t>
      </w:r>
      <w:r w:rsidR="009070BD" w:rsidRPr="00ED5F0A">
        <w:rPr>
          <w:rFonts w:ascii="Times New Roman" w:hAnsi="Times New Roman" w:cs="Times New Roman"/>
        </w:rPr>
        <w:t xml:space="preserve">fall </w:t>
      </w:r>
      <w:r w:rsidRPr="00ED5F0A">
        <w:rPr>
          <w:rFonts w:ascii="Times New Roman" w:hAnsi="Times New Roman" w:cs="Times New Roman"/>
        </w:rPr>
        <w:t xml:space="preserve">2025, </w:t>
      </w:r>
      <w:r w:rsidR="009070BD" w:rsidRPr="00ED5F0A">
        <w:rPr>
          <w:rFonts w:ascii="Times New Roman" w:hAnsi="Times New Roman" w:cs="Times New Roman"/>
        </w:rPr>
        <w:t xml:space="preserve">after the </w:t>
      </w:r>
      <w:r w:rsidRPr="00ED5F0A">
        <w:rPr>
          <w:rFonts w:ascii="Times New Roman" w:hAnsi="Times New Roman" w:cs="Times New Roman"/>
        </w:rPr>
        <w:t xml:space="preserve">trees </w:t>
      </w:r>
      <w:r w:rsidR="009070BD" w:rsidRPr="00ED5F0A">
        <w:rPr>
          <w:rFonts w:ascii="Times New Roman" w:hAnsi="Times New Roman" w:cs="Times New Roman"/>
        </w:rPr>
        <w:t xml:space="preserve">have </w:t>
      </w:r>
      <w:r w:rsidR="00DA6AAA" w:rsidRPr="00ED5F0A">
        <w:rPr>
          <w:rFonts w:ascii="Times New Roman" w:hAnsi="Times New Roman" w:cs="Times New Roman"/>
        </w:rPr>
        <w:t>grow</w:t>
      </w:r>
      <w:r w:rsidR="009070BD" w:rsidRPr="00ED5F0A">
        <w:rPr>
          <w:rFonts w:ascii="Times New Roman" w:hAnsi="Times New Roman" w:cs="Times New Roman"/>
        </w:rPr>
        <w:t>n</w:t>
      </w:r>
      <w:r w:rsidR="00DA6AAA" w:rsidRPr="00ED5F0A">
        <w:rPr>
          <w:rFonts w:ascii="Times New Roman" w:hAnsi="Times New Roman" w:cs="Times New Roman"/>
        </w:rPr>
        <w:t xml:space="preserve"> </w:t>
      </w:r>
      <w:r w:rsidR="00404695" w:rsidRPr="00ED5F0A">
        <w:rPr>
          <w:rFonts w:ascii="Times New Roman" w:hAnsi="Times New Roman" w:cs="Times New Roman"/>
        </w:rPr>
        <w:t xml:space="preserve">in </w:t>
      </w:r>
      <w:r w:rsidRPr="00ED5F0A">
        <w:rPr>
          <w:rFonts w:ascii="Times New Roman" w:hAnsi="Times New Roman" w:cs="Times New Roman"/>
        </w:rPr>
        <w:t>ambient temperatures</w:t>
      </w:r>
      <w:r w:rsidR="009070BD" w:rsidRPr="00ED5F0A">
        <w:rPr>
          <w:rFonts w:ascii="Times New Roman" w:hAnsi="Times New Roman" w:cs="Times New Roman"/>
        </w:rPr>
        <w:t xml:space="preserve"> for the </w:t>
      </w:r>
      <w:r w:rsidR="008F0058" w:rsidRPr="00ED5F0A">
        <w:rPr>
          <w:rFonts w:ascii="Times New Roman" w:hAnsi="Times New Roman" w:cs="Times New Roman"/>
        </w:rPr>
        <w:t>season, I</w:t>
      </w:r>
      <w:r w:rsidR="009070BD" w:rsidRPr="00ED5F0A">
        <w:rPr>
          <w:rFonts w:ascii="Times New Roman" w:hAnsi="Times New Roman" w:cs="Times New Roman"/>
        </w:rPr>
        <w:t xml:space="preserve"> </w:t>
      </w:r>
      <w:r w:rsidRPr="00ED5F0A">
        <w:rPr>
          <w:rFonts w:ascii="Times New Roman" w:hAnsi="Times New Roman" w:cs="Times New Roman"/>
        </w:rPr>
        <w:t xml:space="preserve">will assess </w:t>
      </w:r>
      <w:r w:rsidR="00884A45" w:rsidRPr="00ED5F0A">
        <w:rPr>
          <w:rFonts w:ascii="Times New Roman" w:hAnsi="Times New Roman" w:cs="Times New Roman"/>
        </w:rPr>
        <w:t xml:space="preserve">growth on the individual (total biomass) and the cellular level (number of cells and their characteristics). </w:t>
      </w:r>
    </w:p>
    <w:p w14:paraId="50B290DD" w14:textId="579EF2A3" w:rsidR="00884A45" w:rsidRPr="00ED5F0A" w:rsidRDefault="008E4ADF" w:rsidP="00397017">
      <w:pPr>
        <w:spacing w:before="240"/>
        <w:jc w:val="both"/>
        <w:rPr>
          <w:rFonts w:ascii="Times New Roman" w:hAnsi="Times New Roman" w:cs="Times New Roman"/>
        </w:rPr>
      </w:pPr>
      <w:r w:rsidRPr="006630F0">
        <w:rPr>
          <w:rFonts w:ascii="Times New Roman" w:hAnsi="Times New Roman" w:cs="Times New Roman"/>
          <w:b/>
          <w:bCs/>
          <w:highlight w:val="yellow"/>
        </w:rPr>
        <w:t xml:space="preserve">Research outreach: </w:t>
      </w:r>
      <w:r w:rsidR="00397017" w:rsidRPr="006630F0">
        <w:rPr>
          <w:rFonts w:ascii="Times New Roman" w:hAnsi="Times New Roman" w:cs="Times New Roman"/>
          <w:highlight w:val="yellow"/>
        </w:rPr>
        <w:t>Given the widespread implications of climate change on ecosystems, understanding how forest communities respond to prolonged growing seasons is crucial. Observing the reactions of various species to extended growth periods and nutrient supplementation can reveal potential benefits for some species and harm for others. These shifts are likely to influence forest stand dynamics across North America.</w:t>
      </w:r>
      <w:r w:rsidR="00182F3F">
        <w:rPr>
          <w:rFonts w:ascii="Times New Roman" w:hAnsi="Times New Roman" w:cs="Times New Roman"/>
        </w:rPr>
        <w:br w:type="page"/>
      </w:r>
    </w:p>
    <w:p w14:paraId="6A60210F" w14:textId="5D13716A" w:rsidR="00884A45" w:rsidRPr="00194788" w:rsidRDefault="00884A45" w:rsidP="000B35E6">
      <w:pPr>
        <w:rPr>
          <w:rFonts w:ascii="Times New Roman" w:hAnsi="Times New Roman" w:cs="Times New Roman"/>
          <w:b/>
          <w:bCs/>
        </w:rPr>
      </w:pPr>
      <w:r w:rsidRPr="00ED5F0A">
        <w:rPr>
          <w:rFonts w:ascii="Times New Roman" w:hAnsi="Times New Roman" w:cs="Times New Roman"/>
          <w:b/>
          <w:bCs/>
        </w:rPr>
        <w:lastRenderedPageBreak/>
        <w:t>References</w:t>
      </w:r>
    </w:p>
    <w:p w14:paraId="0EB15A17" w14:textId="77777777" w:rsidR="009515A0" w:rsidRPr="009515A0" w:rsidRDefault="006A03F2" w:rsidP="009515A0">
      <w:pPr>
        <w:pStyle w:val="Bibliography"/>
        <w:rPr>
          <w:rFonts w:ascii="Times New Roman" w:hAnsi="Times New Roman" w:cs="Times New Roman"/>
          <w:lang w:val="en-US"/>
        </w:rPr>
      </w:pPr>
      <w:r w:rsidRPr="00ED5F0A">
        <w:fldChar w:fldCharType="begin"/>
      </w:r>
      <w:r w:rsidR="009515A0">
        <w:instrText xml:space="preserve"> ADDIN ZOTERO_BIBL {"uncited":[],"omitted":[],"custom":[]} CSL_BIBLIOGRAPHY </w:instrText>
      </w:r>
      <w:r w:rsidRPr="00ED5F0A">
        <w:fldChar w:fldCharType="separate"/>
      </w:r>
      <w:r w:rsidR="009515A0" w:rsidRPr="009515A0">
        <w:rPr>
          <w:rFonts w:ascii="Times New Roman" w:hAnsi="Times New Roman" w:cs="Times New Roman"/>
          <w:lang w:val="en-US"/>
        </w:rPr>
        <w:t xml:space="preserve">Chapin, F. S., Schulze, E. et Mooney, H. A. (1990). The Ecology and Economics of Storage in Plants. </w:t>
      </w:r>
      <w:r w:rsidR="009515A0" w:rsidRPr="009515A0">
        <w:rPr>
          <w:rFonts w:ascii="Times New Roman" w:hAnsi="Times New Roman" w:cs="Times New Roman"/>
          <w:i/>
          <w:iCs/>
          <w:lang w:val="en-US"/>
        </w:rPr>
        <w:t>Annual Review of Ecology and Systematics</w:t>
      </w:r>
      <w:r w:rsidR="009515A0" w:rsidRPr="009515A0">
        <w:rPr>
          <w:rFonts w:ascii="Times New Roman" w:hAnsi="Times New Roman" w:cs="Times New Roman"/>
          <w:lang w:val="en-US"/>
        </w:rPr>
        <w:t xml:space="preserve">, </w:t>
      </w:r>
      <w:r w:rsidR="009515A0" w:rsidRPr="009515A0">
        <w:rPr>
          <w:rFonts w:ascii="Times New Roman" w:hAnsi="Times New Roman" w:cs="Times New Roman"/>
          <w:i/>
          <w:iCs/>
          <w:lang w:val="en-US"/>
        </w:rPr>
        <w:t>21</w:t>
      </w:r>
      <w:r w:rsidR="009515A0" w:rsidRPr="009515A0">
        <w:rPr>
          <w:rFonts w:ascii="Times New Roman" w:hAnsi="Times New Roman" w:cs="Times New Roman"/>
          <w:lang w:val="en-US"/>
        </w:rPr>
        <w:t>(1), 423‑447. https://doi.org/10.1146/annurev.es.21.110190.002231</w:t>
      </w:r>
    </w:p>
    <w:p w14:paraId="44D9EB03" w14:textId="77777777" w:rsidR="009515A0" w:rsidRPr="009515A0" w:rsidRDefault="009515A0" w:rsidP="009515A0">
      <w:pPr>
        <w:pStyle w:val="Bibliography"/>
        <w:rPr>
          <w:rFonts w:ascii="Times New Roman" w:hAnsi="Times New Roman" w:cs="Times New Roman"/>
          <w:lang w:val="en-US"/>
        </w:rPr>
      </w:pPr>
      <w:proofErr w:type="spellStart"/>
      <w:r w:rsidRPr="009515A0">
        <w:rPr>
          <w:rFonts w:ascii="Times New Roman" w:hAnsi="Times New Roman" w:cs="Times New Roman"/>
          <w:lang w:val="en-US"/>
        </w:rPr>
        <w:t>Jönsson</w:t>
      </w:r>
      <w:proofErr w:type="spellEnd"/>
      <w:r w:rsidRPr="009515A0">
        <w:rPr>
          <w:rFonts w:ascii="Times New Roman" w:hAnsi="Times New Roman" w:cs="Times New Roman"/>
          <w:lang w:val="en-US"/>
        </w:rPr>
        <w:t xml:space="preserve">, A. M., </w:t>
      </w:r>
      <w:proofErr w:type="spellStart"/>
      <w:r w:rsidRPr="009515A0">
        <w:rPr>
          <w:rFonts w:ascii="Times New Roman" w:hAnsi="Times New Roman" w:cs="Times New Roman"/>
          <w:lang w:val="en-US"/>
        </w:rPr>
        <w:t>Eklundh</w:t>
      </w:r>
      <w:proofErr w:type="spellEnd"/>
      <w:r w:rsidRPr="009515A0">
        <w:rPr>
          <w:rFonts w:ascii="Times New Roman" w:hAnsi="Times New Roman" w:cs="Times New Roman"/>
          <w:lang w:val="en-US"/>
        </w:rPr>
        <w:t xml:space="preserve">, L., </w:t>
      </w:r>
      <w:proofErr w:type="spellStart"/>
      <w:r w:rsidRPr="009515A0">
        <w:rPr>
          <w:rFonts w:ascii="Times New Roman" w:hAnsi="Times New Roman" w:cs="Times New Roman"/>
          <w:lang w:val="en-US"/>
        </w:rPr>
        <w:t>Hellström</w:t>
      </w:r>
      <w:proofErr w:type="spellEnd"/>
      <w:r w:rsidRPr="009515A0">
        <w:rPr>
          <w:rFonts w:ascii="Times New Roman" w:hAnsi="Times New Roman" w:cs="Times New Roman"/>
          <w:lang w:val="en-US"/>
        </w:rPr>
        <w:t xml:space="preserve">, M., </w:t>
      </w:r>
      <w:proofErr w:type="spellStart"/>
      <w:r w:rsidRPr="009515A0">
        <w:rPr>
          <w:rFonts w:ascii="Times New Roman" w:hAnsi="Times New Roman" w:cs="Times New Roman"/>
          <w:lang w:val="en-US"/>
        </w:rPr>
        <w:t>Bärring</w:t>
      </w:r>
      <w:proofErr w:type="spellEnd"/>
      <w:r w:rsidRPr="009515A0">
        <w:rPr>
          <w:rFonts w:ascii="Times New Roman" w:hAnsi="Times New Roman" w:cs="Times New Roman"/>
          <w:lang w:val="en-US"/>
        </w:rPr>
        <w:t xml:space="preserve">, L. et </w:t>
      </w:r>
      <w:proofErr w:type="spellStart"/>
      <w:r w:rsidRPr="009515A0">
        <w:rPr>
          <w:rFonts w:ascii="Times New Roman" w:hAnsi="Times New Roman" w:cs="Times New Roman"/>
          <w:lang w:val="en-US"/>
        </w:rPr>
        <w:t>Jönsson</w:t>
      </w:r>
      <w:proofErr w:type="spellEnd"/>
      <w:r w:rsidRPr="009515A0">
        <w:rPr>
          <w:rFonts w:ascii="Times New Roman" w:hAnsi="Times New Roman" w:cs="Times New Roman"/>
          <w:lang w:val="en-US"/>
        </w:rPr>
        <w:t xml:space="preserve">, P. (2010). Annual changes in MODIS vegetation indices of Swedish coniferous forests in relation to snow dynamics and tree phenology. </w:t>
      </w:r>
      <w:r w:rsidRPr="009515A0">
        <w:rPr>
          <w:rFonts w:ascii="Times New Roman" w:hAnsi="Times New Roman" w:cs="Times New Roman"/>
          <w:i/>
          <w:iCs/>
          <w:lang w:val="en-US"/>
        </w:rPr>
        <w:t>Remote Sensing of Environment</w:t>
      </w:r>
      <w:r w:rsidRPr="009515A0">
        <w:rPr>
          <w:rFonts w:ascii="Times New Roman" w:hAnsi="Times New Roman" w:cs="Times New Roman"/>
          <w:lang w:val="en-US"/>
        </w:rPr>
        <w:t xml:space="preserve">, </w:t>
      </w:r>
      <w:r w:rsidRPr="009515A0">
        <w:rPr>
          <w:rFonts w:ascii="Times New Roman" w:hAnsi="Times New Roman" w:cs="Times New Roman"/>
          <w:i/>
          <w:iCs/>
          <w:lang w:val="en-US"/>
        </w:rPr>
        <w:t>114</w:t>
      </w:r>
      <w:r w:rsidRPr="009515A0">
        <w:rPr>
          <w:rFonts w:ascii="Times New Roman" w:hAnsi="Times New Roman" w:cs="Times New Roman"/>
          <w:lang w:val="en-US"/>
        </w:rPr>
        <w:t>(11), 2719‑2730. https://doi.org/10.1016/j.rse.2010.06.005</w:t>
      </w:r>
    </w:p>
    <w:p w14:paraId="7719B6F1" w14:textId="77777777" w:rsidR="009515A0" w:rsidRPr="009515A0" w:rsidRDefault="009515A0" w:rsidP="009515A0">
      <w:pPr>
        <w:pStyle w:val="Bibliography"/>
        <w:rPr>
          <w:rFonts w:ascii="Times New Roman" w:hAnsi="Times New Roman" w:cs="Times New Roman"/>
          <w:lang w:val="fr-CA"/>
        </w:rPr>
      </w:pPr>
      <w:r w:rsidRPr="009515A0">
        <w:rPr>
          <w:rFonts w:ascii="Times New Roman" w:hAnsi="Times New Roman" w:cs="Times New Roman"/>
          <w:lang w:val="en-US"/>
        </w:rPr>
        <w:t xml:space="preserve">Keenan, T. F., Gray, J., </w:t>
      </w:r>
      <w:proofErr w:type="spellStart"/>
      <w:r w:rsidRPr="009515A0">
        <w:rPr>
          <w:rFonts w:ascii="Times New Roman" w:hAnsi="Times New Roman" w:cs="Times New Roman"/>
          <w:lang w:val="en-US"/>
        </w:rPr>
        <w:t>Friedl</w:t>
      </w:r>
      <w:proofErr w:type="spellEnd"/>
      <w:r w:rsidRPr="009515A0">
        <w:rPr>
          <w:rFonts w:ascii="Times New Roman" w:hAnsi="Times New Roman" w:cs="Times New Roman"/>
          <w:lang w:val="en-US"/>
        </w:rPr>
        <w:t xml:space="preserve">, M. A., Toomey, M., </w:t>
      </w:r>
      <w:proofErr w:type="spellStart"/>
      <w:r w:rsidRPr="009515A0">
        <w:rPr>
          <w:rFonts w:ascii="Times New Roman" w:hAnsi="Times New Roman" w:cs="Times New Roman"/>
          <w:lang w:val="en-US"/>
        </w:rPr>
        <w:t>Bohrer</w:t>
      </w:r>
      <w:proofErr w:type="spellEnd"/>
      <w:r w:rsidRPr="009515A0">
        <w:rPr>
          <w:rFonts w:ascii="Times New Roman" w:hAnsi="Times New Roman" w:cs="Times New Roman"/>
          <w:lang w:val="en-US"/>
        </w:rPr>
        <w:t xml:space="preserve">, G., Hollinger, D. Y., Munger, J. W., O’Keefe, J., Schmid, H. P., Wing, I. S., Yang, B. et Richardson, A. D. (2014). Net carbon uptake has increased through warming-induced changes in temperate forest phenology. </w:t>
      </w:r>
      <w:r w:rsidRPr="009515A0">
        <w:rPr>
          <w:rFonts w:ascii="Times New Roman" w:hAnsi="Times New Roman" w:cs="Times New Roman"/>
          <w:i/>
          <w:iCs/>
          <w:lang w:val="fr-CA"/>
        </w:rPr>
        <w:t xml:space="preserve">Nature </w:t>
      </w:r>
      <w:proofErr w:type="spellStart"/>
      <w:r w:rsidRPr="009515A0">
        <w:rPr>
          <w:rFonts w:ascii="Times New Roman" w:hAnsi="Times New Roman" w:cs="Times New Roman"/>
          <w:i/>
          <w:iCs/>
          <w:lang w:val="fr-CA"/>
        </w:rPr>
        <w:t>Climate</w:t>
      </w:r>
      <w:proofErr w:type="spellEnd"/>
      <w:r w:rsidRPr="009515A0">
        <w:rPr>
          <w:rFonts w:ascii="Times New Roman" w:hAnsi="Times New Roman" w:cs="Times New Roman"/>
          <w:i/>
          <w:iCs/>
          <w:lang w:val="fr-CA"/>
        </w:rPr>
        <w:t xml:space="preserve"> Change</w:t>
      </w:r>
      <w:r w:rsidRPr="009515A0">
        <w:rPr>
          <w:rFonts w:ascii="Times New Roman" w:hAnsi="Times New Roman" w:cs="Times New Roman"/>
          <w:lang w:val="fr-CA"/>
        </w:rPr>
        <w:t xml:space="preserve">, </w:t>
      </w:r>
      <w:r w:rsidRPr="009515A0">
        <w:rPr>
          <w:rFonts w:ascii="Times New Roman" w:hAnsi="Times New Roman" w:cs="Times New Roman"/>
          <w:i/>
          <w:iCs/>
          <w:lang w:val="fr-CA"/>
        </w:rPr>
        <w:t>4</w:t>
      </w:r>
      <w:r w:rsidRPr="009515A0">
        <w:rPr>
          <w:rFonts w:ascii="Times New Roman" w:hAnsi="Times New Roman" w:cs="Times New Roman"/>
          <w:lang w:val="fr-CA"/>
        </w:rPr>
        <w:t>(7), 598‑604. https://doi.org/10.1038/nclimate2253</w:t>
      </w:r>
    </w:p>
    <w:p w14:paraId="308C2820" w14:textId="77777777" w:rsidR="009515A0" w:rsidRPr="009515A0" w:rsidRDefault="009515A0" w:rsidP="009515A0">
      <w:pPr>
        <w:pStyle w:val="Bibliography"/>
        <w:rPr>
          <w:rFonts w:ascii="Times New Roman" w:hAnsi="Times New Roman" w:cs="Times New Roman"/>
          <w:lang w:val="en-US"/>
        </w:rPr>
      </w:pPr>
      <w:proofErr w:type="spellStart"/>
      <w:r w:rsidRPr="009515A0">
        <w:rPr>
          <w:rFonts w:ascii="Times New Roman" w:hAnsi="Times New Roman" w:cs="Times New Roman"/>
          <w:lang w:val="fr-CA"/>
        </w:rPr>
        <w:t>Körner</w:t>
      </w:r>
      <w:proofErr w:type="spellEnd"/>
      <w:r w:rsidRPr="009515A0">
        <w:rPr>
          <w:rFonts w:ascii="Times New Roman" w:hAnsi="Times New Roman" w:cs="Times New Roman"/>
          <w:lang w:val="fr-CA"/>
        </w:rPr>
        <w:t xml:space="preserve">, C. et </w:t>
      </w:r>
      <w:proofErr w:type="spellStart"/>
      <w:r w:rsidRPr="009515A0">
        <w:rPr>
          <w:rFonts w:ascii="Times New Roman" w:hAnsi="Times New Roman" w:cs="Times New Roman"/>
          <w:lang w:val="fr-CA"/>
        </w:rPr>
        <w:t>Basler</w:t>
      </w:r>
      <w:proofErr w:type="spellEnd"/>
      <w:r w:rsidRPr="009515A0">
        <w:rPr>
          <w:rFonts w:ascii="Times New Roman" w:hAnsi="Times New Roman" w:cs="Times New Roman"/>
          <w:lang w:val="fr-CA"/>
        </w:rPr>
        <w:t xml:space="preserve">, D. (2010). </w:t>
      </w:r>
      <w:r w:rsidRPr="009515A0">
        <w:rPr>
          <w:rFonts w:ascii="Times New Roman" w:hAnsi="Times New Roman" w:cs="Times New Roman"/>
          <w:lang w:val="en-US"/>
        </w:rPr>
        <w:t xml:space="preserve">Phenology Under Global Warming. </w:t>
      </w:r>
      <w:r w:rsidRPr="009515A0">
        <w:rPr>
          <w:rFonts w:ascii="Times New Roman" w:hAnsi="Times New Roman" w:cs="Times New Roman"/>
          <w:i/>
          <w:iCs/>
          <w:lang w:val="en-US"/>
        </w:rPr>
        <w:t>Science</w:t>
      </w:r>
      <w:r w:rsidRPr="009515A0">
        <w:rPr>
          <w:rFonts w:ascii="Times New Roman" w:hAnsi="Times New Roman" w:cs="Times New Roman"/>
          <w:lang w:val="en-US"/>
        </w:rPr>
        <w:t xml:space="preserve">, </w:t>
      </w:r>
      <w:r w:rsidRPr="009515A0">
        <w:rPr>
          <w:rFonts w:ascii="Times New Roman" w:hAnsi="Times New Roman" w:cs="Times New Roman"/>
          <w:i/>
          <w:iCs/>
          <w:lang w:val="en-US"/>
        </w:rPr>
        <w:t>327</w:t>
      </w:r>
      <w:r w:rsidRPr="009515A0">
        <w:rPr>
          <w:rFonts w:ascii="Times New Roman" w:hAnsi="Times New Roman" w:cs="Times New Roman"/>
          <w:lang w:val="en-US"/>
        </w:rPr>
        <w:t>(5972), 1461‑1462. https://doi.org/10.1126/science.1186473</w:t>
      </w:r>
    </w:p>
    <w:p w14:paraId="0BEC0EBF" w14:textId="77777777" w:rsidR="009515A0" w:rsidRPr="009515A0" w:rsidRDefault="009515A0" w:rsidP="009515A0">
      <w:pPr>
        <w:pStyle w:val="Bibliography"/>
        <w:rPr>
          <w:rFonts w:ascii="Times New Roman" w:hAnsi="Times New Roman" w:cs="Times New Roman"/>
          <w:lang w:val="en-US"/>
        </w:rPr>
      </w:pPr>
      <w:proofErr w:type="spellStart"/>
      <w:r w:rsidRPr="009515A0">
        <w:rPr>
          <w:rFonts w:ascii="Times New Roman" w:hAnsi="Times New Roman" w:cs="Times New Roman"/>
          <w:lang w:val="en-US"/>
        </w:rPr>
        <w:t>Landhäusser</w:t>
      </w:r>
      <w:proofErr w:type="spellEnd"/>
      <w:r w:rsidRPr="009515A0">
        <w:rPr>
          <w:rFonts w:ascii="Times New Roman" w:hAnsi="Times New Roman" w:cs="Times New Roman"/>
          <w:lang w:val="en-US"/>
        </w:rPr>
        <w:t xml:space="preserve">, S. M., </w:t>
      </w:r>
      <w:proofErr w:type="spellStart"/>
      <w:r w:rsidRPr="009515A0">
        <w:rPr>
          <w:rFonts w:ascii="Times New Roman" w:hAnsi="Times New Roman" w:cs="Times New Roman"/>
          <w:lang w:val="en-US"/>
        </w:rPr>
        <w:t>Pinno</w:t>
      </w:r>
      <w:proofErr w:type="spellEnd"/>
      <w:r w:rsidRPr="009515A0">
        <w:rPr>
          <w:rFonts w:ascii="Times New Roman" w:hAnsi="Times New Roman" w:cs="Times New Roman"/>
          <w:lang w:val="en-US"/>
        </w:rPr>
        <w:t xml:space="preserve">, B. D., </w:t>
      </w:r>
      <w:proofErr w:type="spellStart"/>
      <w:r w:rsidRPr="009515A0">
        <w:rPr>
          <w:rFonts w:ascii="Times New Roman" w:hAnsi="Times New Roman" w:cs="Times New Roman"/>
          <w:lang w:val="en-US"/>
        </w:rPr>
        <w:t>Lieffers</w:t>
      </w:r>
      <w:proofErr w:type="spellEnd"/>
      <w:r w:rsidRPr="009515A0">
        <w:rPr>
          <w:rFonts w:ascii="Times New Roman" w:hAnsi="Times New Roman" w:cs="Times New Roman"/>
          <w:lang w:val="en-US"/>
        </w:rPr>
        <w:t xml:space="preserve">, V. J. et Chow, P. S. (2012). Partitioning of carbon allocation to reserves or growth determines future performance of aspen seedlings. </w:t>
      </w:r>
      <w:r w:rsidRPr="009515A0">
        <w:rPr>
          <w:rFonts w:ascii="Times New Roman" w:hAnsi="Times New Roman" w:cs="Times New Roman"/>
          <w:i/>
          <w:iCs/>
          <w:lang w:val="en-US"/>
        </w:rPr>
        <w:t>Forest Ecology and Management</w:t>
      </w:r>
      <w:r w:rsidRPr="009515A0">
        <w:rPr>
          <w:rFonts w:ascii="Times New Roman" w:hAnsi="Times New Roman" w:cs="Times New Roman"/>
          <w:lang w:val="en-US"/>
        </w:rPr>
        <w:t xml:space="preserve">, </w:t>
      </w:r>
      <w:r w:rsidRPr="009515A0">
        <w:rPr>
          <w:rFonts w:ascii="Times New Roman" w:hAnsi="Times New Roman" w:cs="Times New Roman"/>
          <w:i/>
          <w:iCs/>
          <w:lang w:val="en-US"/>
        </w:rPr>
        <w:t>275</w:t>
      </w:r>
      <w:r w:rsidRPr="009515A0">
        <w:rPr>
          <w:rFonts w:ascii="Times New Roman" w:hAnsi="Times New Roman" w:cs="Times New Roman"/>
          <w:lang w:val="en-US"/>
        </w:rPr>
        <w:t>, 43‑51. https://doi.org/10.1016/j.foreco.2012.03.010</w:t>
      </w:r>
    </w:p>
    <w:p w14:paraId="79FE74EC" w14:textId="77777777" w:rsidR="009515A0" w:rsidRPr="009515A0" w:rsidRDefault="009515A0" w:rsidP="009515A0">
      <w:pPr>
        <w:pStyle w:val="Bibliography"/>
        <w:rPr>
          <w:rFonts w:ascii="Times New Roman" w:hAnsi="Times New Roman" w:cs="Times New Roman"/>
          <w:lang w:val="en-US"/>
        </w:rPr>
      </w:pPr>
      <w:r w:rsidRPr="009515A0">
        <w:rPr>
          <w:rFonts w:ascii="Times New Roman" w:hAnsi="Times New Roman" w:cs="Times New Roman"/>
          <w:lang w:val="en-US"/>
        </w:rPr>
        <w:t xml:space="preserve">Lawrence, B. T. et </w:t>
      </w:r>
      <w:proofErr w:type="spellStart"/>
      <w:r w:rsidRPr="009515A0">
        <w:rPr>
          <w:rFonts w:ascii="Times New Roman" w:hAnsi="Times New Roman" w:cs="Times New Roman"/>
          <w:lang w:val="en-US"/>
        </w:rPr>
        <w:t>Melgar</w:t>
      </w:r>
      <w:proofErr w:type="spellEnd"/>
      <w:r w:rsidRPr="009515A0">
        <w:rPr>
          <w:rFonts w:ascii="Times New Roman" w:hAnsi="Times New Roman" w:cs="Times New Roman"/>
          <w:lang w:val="en-US"/>
        </w:rPr>
        <w:t xml:space="preserve">, J. C. (2018). Variable Fall Climate Influences Nutrient Resorption and Reserve Storage in Young Peach Trees. </w:t>
      </w:r>
      <w:r w:rsidRPr="009515A0">
        <w:rPr>
          <w:rFonts w:ascii="Times New Roman" w:hAnsi="Times New Roman" w:cs="Times New Roman"/>
          <w:i/>
          <w:iCs/>
          <w:lang w:val="en-US"/>
        </w:rPr>
        <w:t>Frontiers in Plant Science</w:t>
      </w:r>
      <w:r w:rsidRPr="009515A0">
        <w:rPr>
          <w:rFonts w:ascii="Times New Roman" w:hAnsi="Times New Roman" w:cs="Times New Roman"/>
          <w:lang w:val="en-US"/>
        </w:rPr>
        <w:t xml:space="preserve">, </w:t>
      </w:r>
      <w:r w:rsidRPr="009515A0">
        <w:rPr>
          <w:rFonts w:ascii="Times New Roman" w:hAnsi="Times New Roman" w:cs="Times New Roman"/>
          <w:i/>
          <w:iCs/>
          <w:lang w:val="en-US"/>
        </w:rPr>
        <w:t>9</w:t>
      </w:r>
      <w:r w:rsidRPr="009515A0">
        <w:rPr>
          <w:rFonts w:ascii="Times New Roman" w:hAnsi="Times New Roman" w:cs="Times New Roman"/>
          <w:lang w:val="en-US"/>
        </w:rPr>
        <w:t>. https://www.frontiersin.org/articles/10.3389/fpls.2018.01819</w:t>
      </w:r>
    </w:p>
    <w:p w14:paraId="31D88323" w14:textId="77777777" w:rsidR="009515A0" w:rsidRPr="009515A0" w:rsidRDefault="009515A0" w:rsidP="009515A0">
      <w:pPr>
        <w:pStyle w:val="Bibliography"/>
        <w:rPr>
          <w:rFonts w:ascii="Times New Roman" w:hAnsi="Times New Roman" w:cs="Times New Roman"/>
          <w:lang w:val="en-US"/>
        </w:rPr>
      </w:pPr>
      <w:r w:rsidRPr="009515A0">
        <w:rPr>
          <w:rFonts w:ascii="Times New Roman" w:hAnsi="Times New Roman" w:cs="Times New Roman"/>
          <w:lang w:val="fr-CA"/>
        </w:rPr>
        <w:t xml:space="preserve">Martens, L. A., </w:t>
      </w:r>
      <w:proofErr w:type="spellStart"/>
      <w:r w:rsidRPr="009515A0">
        <w:rPr>
          <w:rFonts w:ascii="Times New Roman" w:hAnsi="Times New Roman" w:cs="Times New Roman"/>
          <w:lang w:val="fr-CA"/>
        </w:rPr>
        <w:t>Landhäusser</w:t>
      </w:r>
      <w:proofErr w:type="spellEnd"/>
      <w:r w:rsidRPr="009515A0">
        <w:rPr>
          <w:rFonts w:ascii="Times New Roman" w:hAnsi="Times New Roman" w:cs="Times New Roman"/>
          <w:lang w:val="fr-CA"/>
        </w:rPr>
        <w:t xml:space="preserve">, S. M. et </w:t>
      </w:r>
      <w:proofErr w:type="spellStart"/>
      <w:r w:rsidRPr="009515A0">
        <w:rPr>
          <w:rFonts w:ascii="Times New Roman" w:hAnsi="Times New Roman" w:cs="Times New Roman"/>
          <w:lang w:val="fr-CA"/>
        </w:rPr>
        <w:t>Lieffers</w:t>
      </w:r>
      <w:proofErr w:type="spellEnd"/>
      <w:r w:rsidRPr="009515A0">
        <w:rPr>
          <w:rFonts w:ascii="Times New Roman" w:hAnsi="Times New Roman" w:cs="Times New Roman"/>
          <w:lang w:val="fr-CA"/>
        </w:rPr>
        <w:t xml:space="preserve">, V. J. (2007). </w:t>
      </w:r>
      <w:r w:rsidRPr="009515A0">
        <w:rPr>
          <w:rFonts w:ascii="Times New Roman" w:hAnsi="Times New Roman" w:cs="Times New Roman"/>
          <w:lang w:val="en-US"/>
        </w:rPr>
        <w:t xml:space="preserve">First-year growth response of cold-stored, nursery-grown aspen planting stock. </w:t>
      </w:r>
      <w:r w:rsidRPr="009515A0">
        <w:rPr>
          <w:rFonts w:ascii="Times New Roman" w:hAnsi="Times New Roman" w:cs="Times New Roman"/>
          <w:i/>
          <w:iCs/>
          <w:lang w:val="en-US"/>
        </w:rPr>
        <w:t>New Forests</w:t>
      </w:r>
      <w:r w:rsidRPr="009515A0">
        <w:rPr>
          <w:rFonts w:ascii="Times New Roman" w:hAnsi="Times New Roman" w:cs="Times New Roman"/>
          <w:lang w:val="en-US"/>
        </w:rPr>
        <w:t xml:space="preserve">, </w:t>
      </w:r>
      <w:r w:rsidRPr="009515A0">
        <w:rPr>
          <w:rFonts w:ascii="Times New Roman" w:hAnsi="Times New Roman" w:cs="Times New Roman"/>
          <w:i/>
          <w:iCs/>
          <w:lang w:val="en-US"/>
        </w:rPr>
        <w:t>33</w:t>
      </w:r>
      <w:r w:rsidRPr="009515A0">
        <w:rPr>
          <w:rFonts w:ascii="Times New Roman" w:hAnsi="Times New Roman" w:cs="Times New Roman"/>
          <w:lang w:val="en-US"/>
        </w:rPr>
        <w:t>(3), 281‑295. https://doi.org/10.1007/s11056-006-9027-2</w:t>
      </w:r>
    </w:p>
    <w:p w14:paraId="5A2BA3DD" w14:textId="77777777" w:rsidR="009515A0" w:rsidRPr="009515A0" w:rsidRDefault="009515A0" w:rsidP="009515A0">
      <w:pPr>
        <w:pStyle w:val="Bibliography"/>
        <w:rPr>
          <w:rFonts w:ascii="Times New Roman" w:hAnsi="Times New Roman" w:cs="Times New Roman"/>
          <w:lang w:val="fr-CA"/>
        </w:rPr>
      </w:pPr>
      <w:r w:rsidRPr="009515A0">
        <w:rPr>
          <w:rFonts w:ascii="Times New Roman" w:hAnsi="Times New Roman" w:cs="Times New Roman"/>
          <w:lang w:val="en-US"/>
        </w:rPr>
        <w:t xml:space="preserve">Menzel, A. et Fabian, P. (1999). Growing season extended in Europe. </w:t>
      </w:r>
      <w:r w:rsidRPr="009515A0">
        <w:rPr>
          <w:rFonts w:ascii="Times New Roman" w:hAnsi="Times New Roman" w:cs="Times New Roman"/>
          <w:i/>
          <w:iCs/>
          <w:lang w:val="fr-CA"/>
        </w:rPr>
        <w:t>Nature</w:t>
      </w:r>
      <w:r w:rsidRPr="009515A0">
        <w:rPr>
          <w:rFonts w:ascii="Times New Roman" w:hAnsi="Times New Roman" w:cs="Times New Roman"/>
          <w:lang w:val="fr-CA"/>
        </w:rPr>
        <w:t xml:space="preserve">, </w:t>
      </w:r>
      <w:r w:rsidRPr="009515A0">
        <w:rPr>
          <w:rFonts w:ascii="Times New Roman" w:hAnsi="Times New Roman" w:cs="Times New Roman"/>
          <w:i/>
          <w:iCs/>
          <w:lang w:val="fr-CA"/>
        </w:rPr>
        <w:t>397</w:t>
      </w:r>
      <w:r w:rsidRPr="009515A0">
        <w:rPr>
          <w:rFonts w:ascii="Times New Roman" w:hAnsi="Times New Roman" w:cs="Times New Roman"/>
          <w:lang w:val="fr-CA"/>
        </w:rPr>
        <w:t>(6721), 659‑659. https://doi.org/10.1038/17709</w:t>
      </w:r>
    </w:p>
    <w:p w14:paraId="573A406E" w14:textId="77777777" w:rsidR="009515A0" w:rsidRPr="009515A0" w:rsidRDefault="009515A0" w:rsidP="009515A0">
      <w:pPr>
        <w:pStyle w:val="Bibliography"/>
        <w:rPr>
          <w:rFonts w:ascii="Times New Roman" w:hAnsi="Times New Roman" w:cs="Times New Roman"/>
          <w:lang w:val="en-US"/>
        </w:rPr>
      </w:pPr>
      <w:r w:rsidRPr="009515A0">
        <w:rPr>
          <w:rFonts w:ascii="Times New Roman" w:hAnsi="Times New Roman" w:cs="Times New Roman"/>
          <w:lang w:val="fr-CA"/>
        </w:rPr>
        <w:t xml:space="preserve">Schott, K. M., </w:t>
      </w:r>
      <w:proofErr w:type="spellStart"/>
      <w:r w:rsidRPr="009515A0">
        <w:rPr>
          <w:rFonts w:ascii="Times New Roman" w:hAnsi="Times New Roman" w:cs="Times New Roman"/>
          <w:lang w:val="fr-CA"/>
        </w:rPr>
        <w:t>Pinno</w:t>
      </w:r>
      <w:proofErr w:type="spellEnd"/>
      <w:r w:rsidRPr="009515A0">
        <w:rPr>
          <w:rFonts w:ascii="Times New Roman" w:hAnsi="Times New Roman" w:cs="Times New Roman"/>
          <w:lang w:val="fr-CA"/>
        </w:rPr>
        <w:t xml:space="preserve">, B. D. et </w:t>
      </w:r>
      <w:proofErr w:type="spellStart"/>
      <w:r w:rsidRPr="009515A0">
        <w:rPr>
          <w:rFonts w:ascii="Times New Roman" w:hAnsi="Times New Roman" w:cs="Times New Roman"/>
          <w:lang w:val="fr-CA"/>
        </w:rPr>
        <w:t>Landhäusser</w:t>
      </w:r>
      <w:proofErr w:type="spellEnd"/>
      <w:r w:rsidRPr="009515A0">
        <w:rPr>
          <w:rFonts w:ascii="Times New Roman" w:hAnsi="Times New Roman" w:cs="Times New Roman"/>
          <w:lang w:val="fr-CA"/>
        </w:rPr>
        <w:t xml:space="preserve">, S. M. (2013). </w:t>
      </w:r>
      <w:r w:rsidRPr="009515A0">
        <w:rPr>
          <w:rFonts w:ascii="Times New Roman" w:hAnsi="Times New Roman" w:cs="Times New Roman"/>
          <w:lang w:val="en-US"/>
        </w:rPr>
        <w:t xml:space="preserve">Premature shoot growth termination allows nutrient loading of seedlings with an indeterminate growth strategy. </w:t>
      </w:r>
      <w:r w:rsidRPr="009515A0">
        <w:rPr>
          <w:rFonts w:ascii="Times New Roman" w:hAnsi="Times New Roman" w:cs="Times New Roman"/>
          <w:i/>
          <w:iCs/>
          <w:lang w:val="en-US"/>
        </w:rPr>
        <w:t>New Forests</w:t>
      </w:r>
      <w:r w:rsidRPr="009515A0">
        <w:rPr>
          <w:rFonts w:ascii="Times New Roman" w:hAnsi="Times New Roman" w:cs="Times New Roman"/>
          <w:lang w:val="en-US"/>
        </w:rPr>
        <w:t xml:space="preserve">, </w:t>
      </w:r>
      <w:r w:rsidRPr="009515A0">
        <w:rPr>
          <w:rFonts w:ascii="Times New Roman" w:hAnsi="Times New Roman" w:cs="Times New Roman"/>
          <w:i/>
          <w:iCs/>
          <w:lang w:val="en-US"/>
        </w:rPr>
        <w:t>44</w:t>
      </w:r>
      <w:r w:rsidRPr="009515A0">
        <w:rPr>
          <w:rFonts w:ascii="Times New Roman" w:hAnsi="Times New Roman" w:cs="Times New Roman"/>
          <w:lang w:val="en-US"/>
        </w:rPr>
        <w:t>(5), 635‑647. https://doi.org/10.1007/s11056-013-9373-9</w:t>
      </w:r>
    </w:p>
    <w:p w14:paraId="70C6B26B" w14:textId="77777777" w:rsidR="009515A0" w:rsidRPr="009515A0" w:rsidRDefault="009515A0" w:rsidP="009515A0">
      <w:pPr>
        <w:pStyle w:val="Bibliography"/>
        <w:rPr>
          <w:rFonts w:ascii="Times New Roman" w:hAnsi="Times New Roman" w:cs="Times New Roman"/>
          <w:lang w:val="en-US"/>
        </w:rPr>
      </w:pPr>
      <w:r w:rsidRPr="009515A0">
        <w:rPr>
          <w:rFonts w:ascii="Times New Roman" w:hAnsi="Times New Roman" w:cs="Times New Roman"/>
          <w:lang w:val="en-US"/>
        </w:rPr>
        <w:t xml:space="preserve">Siegel, J. A. (2009). Collaborative Decision Making on Climate Change in the Federal Government. </w:t>
      </w:r>
      <w:r w:rsidRPr="009515A0">
        <w:rPr>
          <w:rFonts w:ascii="Times New Roman" w:hAnsi="Times New Roman" w:cs="Times New Roman"/>
          <w:i/>
          <w:iCs/>
          <w:lang w:val="en-US"/>
        </w:rPr>
        <w:t>Pace Environmental Law Review</w:t>
      </w:r>
      <w:r w:rsidRPr="009515A0">
        <w:rPr>
          <w:rFonts w:ascii="Times New Roman" w:hAnsi="Times New Roman" w:cs="Times New Roman"/>
          <w:lang w:val="en-US"/>
        </w:rPr>
        <w:t xml:space="preserve">, </w:t>
      </w:r>
      <w:r w:rsidRPr="009515A0">
        <w:rPr>
          <w:rFonts w:ascii="Times New Roman" w:hAnsi="Times New Roman" w:cs="Times New Roman"/>
          <w:i/>
          <w:iCs/>
          <w:lang w:val="en-US"/>
        </w:rPr>
        <w:t>27</w:t>
      </w:r>
      <w:r w:rsidRPr="009515A0">
        <w:rPr>
          <w:rFonts w:ascii="Times New Roman" w:hAnsi="Times New Roman" w:cs="Times New Roman"/>
          <w:lang w:val="en-US"/>
        </w:rPr>
        <w:t>, 257.</w:t>
      </w:r>
    </w:p>
    <w:p w14:paraId="11B7B9BF" w14:textId="77777777" w:rsidR="009515A0" w:rsidRPr="009515A0" w:rsidRDefault="009515A0" w:rsidP="009515A0">
      <w:pPr>
        <w:pStyle w:val="Bibliography"/>
        <w:rPr>
          <w:rFonts w:ascii="Times New Roman" w:hAnsi="Times New Roman" w:cs="Times New Roman"/>
          <w:lang w:val="en-US"/>
        </w:rPr>
      </w:pPr>
      <w:r w:rsidRPr="009515A0">
        <w:rPr>
          <w:rFonts w:ascii="Times New Roman" w:hAnsi="Times New Roman" w:cs="Times New Roman"/>
          <w:lang w:val="en-US"/>
        </w:rPr>
        <w:t xml:space="preserve">Wang, H., Wang, H., Ge, Q. et Dai, J. (2020). The Interactive Effects of Chilling, Photoperiod, and Forcing Temperature on Flowering Phenology of Temperate Woody Plants. </w:t>
      </w:r>
      <w:r w:rsidRPr="009515A0">
        <w:rPr>
          <w:rFonts w:ascii="Times New Roman" w:hAnsi="Times New Roman" w:cs="Times New Roman"/>
          <w:i/>
          <w:iCs/>
          <w:lang w:val="en-US"/>
        </w:rPr>
        <w:t>Frontiers in Plant Science</w:t>
      </w:r>
      <w:r w:rsidRPr="009515A0">
        <w:rPr>
          <w:rFonts w:ascii="Times New Roman" w:hAnsi="Times New Roman" w:cs="Times New Roman"/>
          <w:lang w:val="en-US"/>
        </w:rPr>
        <w:t xml:space="preserve">, </w:t>
      </w:r>
      <w:r w:rsidRPr="009515A0">
        <w:rPr>
          <w:rFonts w:ascii="Times New Roman" w:hAnsi="Times New Roman" w:cs="Times New Roman"/>
          <w:i/>
          <w:iCs/>
          <w:lang w:val="en-US"/>
        </w:rPr>
        <w:t>11</w:t>
      </w:r>
      <w:r w:rsidRPr="009515A0">
        <w:rPr>
          <w:rFonts w:ascii="Times New Roman" w:hAnsi="Times New Roman" w:cs="Times New Roman"/>
          <w:lang w:val="en-US"/>
        </w:rPr>
        <w:t>. https://www.frontiersin.org/articles/10.3389/fpls.2020.00443</w:t>
      </w:r>
    </w:p>
    <w:p w14:paraId="505D8610" w14:textId="77777777" w:rsidR="009515A0" w:rsidRPr="009515A0" w:rsidRDefault="009515A0" w:rsidP="009515A0">
      <w:pPr>
        <w:pStyle w:val="Bibliography"/>
        <w:rPr>
          <w:rFonts w:ascii="Times New Roman" w:hAnsi="Times New Roman" w:cs="Times New Roman"/>
          <w:lang w:val="en-US"/>
        </w:rPr>
      </w:pPr>
      <w:proofErr w:type="spellStart"/>
      <w:r w:rsidRPr="009515A0">
        <w:rPr>
          <w:rFonts w:ascii="Times New Roman" w:hAnsi="Times New Roman" w:cs="Times New Roman"/>
          <w:lang w:val="en-US"/>
        </w:rPr>
        <w:t>Wolkovich</w:t>
      </w:r>
      <w:proofErr w:type="spellEnd"/>
      <w:r w:rsidRPr="009515A0">
        <w:rPr>
          <w:rFonts w:ascii="Times New Roman" w:hAnsi="Times New Roman" w:cs="Times New Roman"/>
          <w:lang w:val="en-US"/>
        </w:rPr>
        <w:t xml:space="preserve">, E. M., Cook, B. I., Allen, J. M., Crimmins, T. M., Betancourt, J. L., Travers, S. E., Pau, S., </w:t>
      </w:r>
      <w:proofErr w:type="spellStart"/>
      <w:r w:rsidRPr="009515A0">
        <w:rPr>
          <w:rFonts w:ascii="Times New Roman" w:hAnsi="Times New Roman" w:cs="Times New Roman"/>
          <w:lang w:val="en-US"/>
        </w:rPr>
        <w:t>Regetz</w:t>
      </w:r>
      <w:proofErr w:type="spellEnd"/>
      <w:r w:rsidRPr="009515A0">
        <w:rPr>
          <w:rFonts w:ascii="Times New Roman" w:hAnsi="Times New Roman" w:cs="Times New Roman"/>
          <w:lang w:val="en-US"/>
        </w:rPr>
        <w:t xml:space="preserve">, J., Davies, T. J., Kraft, N. J. B., Ault, T. R., </w:t>
      </w:r>
      <w:proofErr w:type="spellStart"/>
      <w:r w:rsidRPr="009515A0">
        <w:rPr>
          <w:rFonts w:ascii="Times New Roman" w:hAnsi="Times New Roman" w:cs="Times New Roman"/>
          <w:lang w:val="en-US"/>
        </w:rPr>
        <w:t>Bolmgren</w:t>
      </w:r>
      <w:proofErr w:type="spellEnd"/>
      <w:r w:rsidRPr="009515A0">
        <w:rPr>
          <w:rFonts w:ascii="Times New Roman" w:hAnsi="Times New Roman" w:cs="Times New Roman"/>
          <w:lang w:val="en-US"/>
        </w:rPr>
        <w:t xml:space="preserve">, K., Mazer, S. J., McCabe, G. J., McGill, B. J., Parmesan, C., </w:t>
      </w:r>
      <w:proofErr w:type="spellStart"/>
      <w:r w:rsidRPr="009515A0">
        <w:rPr>
          <w:rFonts w:ascii="Times New Roman" w:hAnsi="Times New Roman" w:cs="Times New Roman"/>
          <w:lang w:val="en-US"/>
        </w:rPr>
        <w:t>Salamin</w:t>
      </w:r>
      <w:proofErr w:type="spellEnd"/>
      <w:r w:rsidRPr="009515A0">
        <w:rPr>
          <w:rFonts w:ascii="Times New Roman" w:hAnsi="Times New Roman" w:cs="Times New Roman"/>
          <w:lang w:val="en-US"/>
        </w:rPr>
        <w:t xml:space="preserve">, N., Schwartz, M. D. et Cleland, E. E. (2012). Warming experiments underpredict plant phenological responses to climate change. </w:t>
      </w:r>
      <w:r w:rsidRPr="009515A0">
        <w:rPr>
          <w:rFonts w:ascii="Times New Roman" w:hAnsi="Times New Roman" w:cs="Times New Roman"/>
          <w:i/>
          <w:iCs/>
          <w:lang w:val="en-US"/>
        </w:rPr>
        <w:t>Nature</w:t>
      </w:r>
      <w:r w:rsidRPr="009515A0">
        <w:rPr>
          <w:rFonts w:ascii="Times New Roman" w:hAnsi="Times New Roman" w:cs="Times New Roman"/>
          <w:lang w:val="en-US"/>
        </w:rPr>
        <w:t xml:space="preserve">, </w:t>
      </w:r>
      <w:r w:rsidRPr="009515A0">
        <w:rPr>
          <w:rFonts w:ascii="Times New Roman" w:hAnsi="Times New Roman" w:cs="Times New Roman"/>
          <w:i/>
          <w:iCs/>
          <w:lang w:val="en-US"/>
        </w:rPr>
        <w:t>485</w:t>
      </w:r>
      <w:r w:rsidRPr="009515A0">
        <w:rPr>
          <w:rFonts w:ascii="Times New Roman" w:hAnsi="Times New Roman" w:cs="Times New Roman"/>
          <w:lang w:val="en-US"/>
        </w:rPr>
        <w:t>(7399), 494‑497. https://doi.org/10.1038/nature11014</w:t>
      </w:r>
    </w:p>
    <w:p w14:paraId="1D02C292" w14:textId="750C2DFB" w:rsidR="00036BEF" w:rsidRPr="00ED5F0A" w:rsidRDefault="006A03F2" w:rsidP="00E24B4F">
      <w:pPr>
        <w:rPr>
          <w:rFonts w:ascii="Times New Roman" w:hAnsi="Times New Roman" w:cs="Times New Roman"/>
        </w:rPr>
      </w:pPr>
      <w:r w:rsidRPr="00ED5F0A">
        <w:rPr>
          <w:rFonts w:ascii="Times New Roman" w:hAnsi="Times New Roman" w:cs="Times New Roman"/>
        </w:rPr>
        <w:fldChar w:fldCharType="end"/>
      </w:r>
    </w:p>
    <w:sectPr w:rsidR="00036BEF" w:rsidRPr="00ED5F0A" w:rsidSect="00A02C94">
      <w:headerReference w:type="default" r:id="rId8"/>
      <w:pgSz w:w="12240" w:h="15840"/>
      <w:pgMar w:top="1060" w:right="1060" w:bottom="1021" w:left="1021" w:header="62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C3D51" w14:textId="77777777" w:rsidR="0031189D" w:rsidRDefault="0031189D" w:rsidP="00B76CBA">
      <w:r>
        <w:separator/>
      </w:r>
    </w:p>
  </w:endnote>
  <w:endnote w:type="continuationSeparator" w:id="0">
    <w:p w14:paraId="534C827F" w14:textId="77777777" w:rsidR="0031189D" w:rsidRDefault="0031189D" w:rsidP="00B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ABFE1" w14:textId="77777777" w:rsidR="0031189D" w:rsidRDefault="0031189D" w:rsidP="00B76CBA">
      <w:r>
        <w:separator/>
      </w:r>
    </w:p>
  </w:footnote>
  <w:footnote w:type="continuationSeparator" w:id="0">
    <w:p w14:paraId="41DB53B7" w14:textId="77777777" w:rsidR="0031189D" w:rsidRDefault="0031189D" w:rsidP="00B76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20FD1" w14:textId="1103CEA8" w:rsidR="00194788" w:rsidRPr="00194788" w:rsidRDefault="00194788">
    <w:pPr>
      <w:pStyle w:val="Header"/>
      <w:rPr>
        <w:lang w:val="fr-CA"/>
      </w:rPr>
    </w:pPr>
    <w:r>
      <w:rPr>
        <w:lang w:val="fr-CA"/>
      </w:rPr>
      <w:t>Christophe Rouleau-Desrochers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73D0E"/>
    <w:multiLevelType w:val="hybridMultilevel"/>
    <w:tmpl w:val="DB7C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065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7"/>
    <w:rsid w:val="000009D9"/>
    <w:rsid w:val="00001A15"/>
    <w:rsid w:val="00017637"/>
    <w:rsid w:val="00036BEF"/>
    <w:rsid w:val="0009371F"/>
    <w:rsid w:val="000B35E6"/>
    <w:rsid w:val="000B4132"/>
    <w:rsid w:val="000C3903"/>
    <w:rsid w:val="000C502B"/>
    <w:rsid w:val="000E68EC"/>
    <w:rsid w:val="000E7FC6"/>
    <w:rsid w:val="00182F3F"/>
    <w:rsid w:val="00194788"/>
    <w:rsid w:val="001A0FF5"/>
    <w:rsid w:val="001B71C1"/>
    <w:rsid w:val="001E046D"/>
    <w:rsid w:val="00211F6F"/>
    <w:rsid w:val="002168AF"/>
    <w:rsid w:val="002465D9"/>
    <w:rsid w:val="0026093C"/>
    <w:rsid w:val="002C62B4"/>
    <w:rsid w:val="002E25F3"/>
    <w:rsid w:val="0031189D"/>
    <w:rsid w:val="0031528E"/>
    <w:rsid w:val="003815DA"/>
    <w:rsid w:val="00397017"/>
    <w:rsid w:val="0039770A"/>
    <w:rsid w:val="00397EEA"/>
    <w:rsid w:val="003A7FCE"/>
    <w:rsid w:val="00404695"/>
    <w:rsid w:val="00450345"/>
    <w:rsid w:val="0045212A"/>
    <w:rsid w:val="004830B0"/>
    <w:rsid w:val="0048739D"/>
    <w:rsid w:val="00502804"/>
    <w:rsid w:val="00586B62"/>
    <w:rsid w:val="005A173B"/>
    <w:rsid w:val="005A44DE"/>
    <w:rsid w:val="005F7C18"/>
    <w:rsid w:val="006630F0"/>
    <w:rsid w:val="00695B8D"/>
    <w:rsid w:val="006A03F2"/>
    <w:rsid w:val="006A5BEC"/>
    <w:rsid w:val="006B1B7B"/>
    <w:rsid w:val="006C290A"/>
    <w:rsid w:val="00703739"/>
    <w:rsid w:val="00714313"/>
    <w:rsid w:val="00722AD7"/>
    <w:rsid w:val="00723486"/>
    <w:rsid w:val="00774753"/>
    <w:rsid w:val="008170CC"/>
    <w:rsid w:val="00846547"/>
    <w:rsid w:val="00862DE9"/>
    <w:rsid w:val="008678A9"/>
    <w:rsid w:val="00881240"/>
    <w:rsid w:val="00884A45"/>
    <w:rsid w:val="008B6C04"/>
    <w:rsid w:val="008E4ADF"/>
    <w:rsid w:val="008E4AF4"/>
    <w:rsid w:val="008F0058"/>
    <w:rsid w:val="008F6962"/>
    <w:rsid w:val="009070BD"/>
    <w:rsid w:val="00924814"/>
    <w:rsid w:val="009515A0"/>
    <w:rsid w:val="009A411A"/>
    <w:rsid w:val="009E50B5"/>
    <w:rsid w:val="00A02C94"/>
    <w:rsid w:val="00A15198"/>
    <w:rsid w:val="00B76CBA"/>
    <w:rsid w:val="00BD4EC3"/>
    <w:rsid w:val="00BE6E11"/>
    <w:rsid w:val="00C5105E"/>
    <w:rsid w:val="00CC1312"/>
    <w:rsid w:val="00CE02C1"/>
    <w:rsid w:val="00D045AE"/>
    <w:rsid w:val="00D3787F"/>
    <w:rsid w:val="00D906EF"/>
    <w:rsid w:val="00D90F9E"/>
    <w:rsid w:val="00D950B5"/>
    <w:rsid w:val="00DA2E7F"/>
    <w:rsid w:val="00DA6AAA"/>
    <w:rsid w:val="00DB349B"/>
    <w:rsid w:val="00DE1308"/>
    <w:rsid w:val="00DE38DF"/>
    <w:rsid w:val="00E03B56"/>
    <w:rsid w:val="00E120A4"/>
    <w:rsid w:val="00E136AE"/>
    <w:rsid w:val="00E24B4F"/>
    <w:rsid w:val="00E443D9"/>
    <w:rsid w:val="00E54ACB"/>
    <w:rsid w:val="00EA3597"/>
    <w:rsid w:val="00EA6C9E"/>
    <w:rsid w:val="00ED0A8E"/>
    <w:rsid w:val="00ED5F0A"/>
    <w:rsid w:val="00F35BFD"/>
    <w:rsid w:val="00F5725E"/>
    <w:rsid w:val="00F86DF4"/>
    <w:rsid w:val="00F90309"/>
    <w:rsid w:val="00FB1F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CF2B"/>
  <w15:chartTrackingRefBased/>
  <w15:docId w15:val="{771AFF86-EB7E-A648-91DD-D18424CC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51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519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9770A"/>
    <w:rPr>
      <w:sz w:val="16"/>
      <w:szCs w:val="16"/>
    </w:rPr>
  </w:style>
  <w:style w:type="paragraph" w:styleId="CommentText">
    <w:name w:val="annotation text"/>
    <w:basedOn w:val="Normal"/>
    <w:link w:val="CommentTextChar"/>
    <w:uiPriority w:val="99"/>
    <w:semiHidden/>
    <w:unhideWhenUsed/>
    <w:rsid w:val="0039770A"/>
    <w:rPr>
      <w:sz w:val="20"/>
      <w:szCs w:val="20"/>
    </w:rPr>
  </w:style>
  <w:style w:type="character" w:customStyle="1" w:styleId="CommentTextChar">
    <w:name w:val="Comment Text Char"/>
    <w:basedOn w:val="DefaultParagraphFont"/>
    <w:link w:val="CommentText"/>
    <w:uiPriority w:val="99"/>
    <w:semiHidden/>
    <w:rsid w:val="0039770A"/>
    <w:rPr>
      <w:sz w:val="20"/>
      <w:szCs w:val="20"/>
    </w:rPr>
  </w:style>
  <w:style w:type="paragraph" w:styleId="CommentSubject">
    <w:name w:val="annotation subject"/>
    <w:basedOn w:val="CommentText"/>
    <w:next w:val="CommentText"/>
    <w:link w:val="CommentSubjectChar"/>
    <w:uiPriority w:val="99"/>
    <w:semiHidden/>
    <w:unhideWhenUsed/>
    <w:rsid w:val="0039770A"/>
    <w:rPr>
      <w:b/>
      <w:bCs/>
    </w:rPr>
  </w:style>
  <w:style w:type="character" w:customStyle="1" w:styleId="CommentSubjectChar">
    <w:name w:val="Comment Subject Char"/>
    <w:basedOn w:val="CommentTextChar"/>
    <w:link w:val="CommentSubject"/>
    <w:uiPriority w:val="99"/>
    <w:semiHidden/>
    <w:rsid w:val="0039770A"/>
    <w:rPr>
      <w:b/>
      <w:bCs/>
      <w:sz w:val="20"/>
      <w:szCs w:val="20"/>
    </w:rPr>
  </w:style>
  <w:style w:type="paragraph" w:styleId="ListParagraph">
    <w:name w:val="List Paragraph"/>
    <w:basedOn w:val="Normal"/>
    <w:uiPriority w:val="34"/>
    <w:qFormat/>
    <w:rsid w:val="00F90309"/>
    <w:pPr>
      <w:ind w:left="720"/>
      <w:contextualSpacing/>
    </w:pPr>
  </w:style>
  <w:style w:type="paragraph" w:styleId="FootnoteText">
    <w:name w:val="footnote text"/>
    <w:basedOn w:val="Normal"/>
    <w:link w:val="FootnoteTextChar"/>
    <w:uiPriority w:val="99"/>
    <w:semiHidden/>
    <w:unhideWhenUsed/>
    <w:rsid w:val="00B76CBA"/>
    <w:rPr>
      <w:sz w:val="20"/>
      <w:szCs w:val="20"/>
    </w:rPr>
  </w:style>
  <w:style w:type="character" w:customStyle="1" w:styleId="FootnoteTextChar">
    <w:name w:val="Footnote Text Char"/>
    <w:basedOn w:val="DefaultParagraphFont"/>
    <w:link w:val="FootnoteText"/>
    <w:uiPriority w:val="99"/>
    <w:semiHidden/>
    <w:rsid w:val="00B76CBA"/>
    <w:rPr>
      <w:sz w:val="20"/>
      <w:szCs w:val="20"/>
    </w:rPr>
  </w:style>
  <w:style w:type="character" w:styleId="FootnoteReference">
    <w:name w:val="footnote reference"/>
    <w:basedOn w:val="DefaultParagraphFont"/>
    <w:uiPriority w:val="99"/>
    <w:semiHidden/>
    <w:unhideWhenUsed/>
    <w:rsid w:val="00B76CBA"/>
    <w:rPr>
      <w:vertAlign w:val="superscript"/>
    </w:rPr>
  </w:style>
  <w:style w:type="paragraph" w:styleId="Bibliography">
    <w:name w:val="Bibliography"/>
    <w:basedOn w:val="Normal"/>
    <w:next w:val="Normal"/>
    <w:uiPriority w:val="37"/>
    <w:unhideWhenUsed/>
    <w:rsid w:val="006A03F2"/>
    <w:pPr>
      <w:tabs>
        <w:tab w:val="left" w:pos="260"/>
      </w:tabs>
      <w:spacing w:after="240"/>
      <w:ind w:left="720" w:hanging="720"/>
    </w:pPr>
  </w:style>
  <w:style w:type="paragraph" w:styleId="Revision">
    <w:name w:val="Revision"/>
    <w:hidden/>
    <w:uiPriority w:val="99"/>
    <w:semiHidden/>
    <w:rsid w:val="00862DE9"/>
  </w:style>
  <w:style w:type="character" w:styleId="Hyperlink">
    <w:name w:val="Hyperlink"/>
    <w:basedOn w:val="DefaultParagraphFont"/>
    <w:uiPriority w:val="99"/>
    <w:unhideWhenUsed/>
    <w:rsid w:val="000C502B"/>
    <w:rPr>
      <w:color w:val="0563C1" w:themeColor="hyperlink"/>
      <w:u w:val="single"/>
    </w:rPr>
  </w:style>
  <w:style w:type="character" w:styleId="UnresolvedMention">
    <w:name w:val="Unresolved Mention"/>
    <w:basedOn w:val="DefaultParagraphFont"/>
    <w:uiPriority w:val="99"/>
    <w:semiHidden/>
    <w:unhideWhenUsed/>
    <w:rsid w:val="000C502B"/>
    <w:rPr>
      <w:color w:val="605E5C"/>
      <w:shd w:val="clear" w:color="auto" w:fill="E1DFDD"/>
    </w:rPr>
  </w:style>
  <w:style w:type="paragraph" w:styleId="NormalWeb">
    <w:name w:val="Normal (Web)"/>
    <w:basedOn w:val="Normal"/>
    <w:uiPriority w:val="99"/>
    <w:semiHidden/>
    <w:unhideWhenUsed/>
    <w:rsid w:val="00182F3F"/>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194788"/>
    <w:pPr>
      <w:tabs>
        <w:tab w:val="center" w:pos="4680"/>
        <w:tab w:val="right" w:pos="9360"/>
      </w:tabs>
    </w:pPr>
  </w:style>
  <w:style w:type="character" w:customStyle="1" w:styleId="HeaderChar">
    <w:name w:val="Header Char"/>
    <w:basedOn w:val="DefaultParagraphFont"/>
    <w:link w:val="Header"/>
    <w:uiPriority w:val="99"/>
    <w:rsid w:val="00194788"/>
  </w:style>
  <w:style w:type="paragraph" w:styleId="Footer">
    <w:name w:val="footer"/>
    <w:basedOn w:val="Normal"/>
    <w:link w:val="FooterChar"/>
    <w:uiPriority w:val="99"/>
    <w:unhideWhenUsed/>
    <w:rsid w:val="00194788"/>
    <w:pPr>
      <w:tabs>
        <w:tab w:val="center" w:pos="4680"/>
        <w:tab w:val="right" w:pos="9360"/>
      </w:tabs>
    </w:pPr>
  </w:style>
  <w:style w:type="character" w:customStyle="1" w:styleId="FooterChar">
    <w:name w:val="Footer Char"/>
    <w:basedOn w:val="DefaultParagraphFont"/>
    <w:link w:val="Footer"/>
    <w:uiPriority w:val="99"/>
    <w:rsid w:val="00194788"/>
  </w:style>
  <w:style w:type="character" w:styleId="FollowedHyperlink">
    <w:name w:val="FollowedHyperlink"/>
    <w:basedOn w:val="DefaultParagraphFont"/>
    <w:uiPriority w:val="99"/>
    <w:semiHidden/>
    <w:unhideWhenUsed/>
    <w:rsid w:val="00FB1F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0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E1F921-5A49-B548-A6EE-C8914A4A5906}">
  <we:reference id="wa104382081" version="1.55.1.0" store="fr-FR"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2CCD2-0E56-7142-8824-6737EA81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4950</Words>
  <Characters>26980</Characters>
  <Application>Microsoft Office Word</Application>
  <DocSecurity>0</DocSecurity>
  <Lines>391</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Rouleau-Desrochers, Christophe</dc:creator>
  <cp:keywords/>
  <dc:description/>
  <cp:lastModifiedBy>Rouleau-Desrochers, Christophe</cp:lastModifiedBy>
  <cp:revision>13</cp:revision>
  <dcterms:created xsi:type="dcterms:W3CDTF">2023-11-22T15:59:00Z</dcterms:created>
  <dcterms:modified xsi:type="dcterms:W3CDTF">2023-11-22T17:32:00Z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id="6obVH61l"/&gt;&lt;style id="http://www.zotero.org/styles/universite-du-quebec-a-montreal" hasBibliography="1" bibliographyStyleHasBeenSet="1"/&gt;&lt;prefs&gt;&lt;pref name="fieldType" value="Field"/&gt;&lt;/prefs&gt;&lt;/dat</vt:lpwstr>
  </property>
  <property fmtid="{D5CDD505-2E9C-101B-9397-08002B2CF9AE}" pid="3" name="ZOTERO_PREF_2">
    <vt:lpwstr>a&gt;</vt:lpwstr>
  </property>
</Properties>
</file>