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ED8A5C1" w:rsidR="002F012E" w:rsidRDefault="00DD14CF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Abschlussbericht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0D973B70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DD14CF">
        <w:rPr>
          <w:rFonts w:ascii="Cambria" w:hAnsi="Cambria"/>
          <w:sz w:val="20"/>
        </w:rPr>
        <w:t>2</w:t>
      </w:r>
      <w:r w:rsidR="003E58E1">
        <w:rPr>
          <w:rFonts w:ascii="Cambria" w:hAnsi="Cambria"/>
          <w:sz w:val="20"/>
        </w:rPr>
        <w:t>5</w:t>
      </w:r>
      <w:r w:rsidR="008023EB">
        <w:rPr>
          <w:rFonts w:ascii="Cambria" w:hAnsi="Cambria"/>
          <w:sz w:val="20"/>
        </w:rPr>
        <w:t>.</w:t>
      </w:r>
      <w:r w:rsidR="003E58E1">
        <w:rPr>
          <w:rFonts w:ascii="Cambria" w:hAnsi="Cambria"/>
          <w:sz w:val="20"/>
        </w:rPr>
        <w:t>03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2A06DC97" w:rsidR="002F012E" w:rsidRDefault="00F32B15">
      <w:pPr>
        <w:pStyle w:val="Untertitel"/>
      </w:pPr>
      <w:r>
        <w:t>2</w:t>
      </w:r>
      <w:r w:rsidR="003E58E1">
        <w:t>5</w:t>
      </w:r>
      <w:r w:rsidR="000A4878">
        <w:t>.</w:t>
      </w:r>
      <w:r w:rsidR="003E58E1">
        <w:t>03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24D9C37F" w:rsidR="002F012E" w:rsidRDefault="004559E9">
      <w:r>
        <w:rPr>
          <w:b/>
          <w:bCs/>
          <w:color w:val="5B9BD5"/>
          <w:sz w:val="24"/>
        </w:rPr>
        <w:t>Allgemeine Zusammenfassung</w:t>
      </w:r>
    </w:p>
    <w:p w14:paraId="5B37D85E" w14:textId="57F8144F" w:rsidR="0053572E" w:rsidRDefault="004559E9" w:rsidP="0053572E">
      <w:r>
        <w:t>Das Projekt wurde nach Angaben der SOLL-Kriterien</w:t>
      </w:r>
      <w:r w:rsidR="00284461">
        <w:t xml:space="preserve"> (lt. Pflichtenheft)</w:t>
      </w:r>
      <w:r>
        <w:t xml:space="preserve"> mit 2-</w:t>
      </w:r>
      <w:r w:rsidR="0053572E">
        <w:t>w</w:t>
      </w:r>
      <w:r>
        <w:t xml:space="preserve">öchiger Verspätung fertiggestellt. </w:t>
      </w:r>
      <w:r w:rsidR="0053572E">
        <w:t>Die Applikation ermöglicht nun die Darstellung von Bohrungen auf Arbeitsplattten auf Basis der Abmessungen dieser.</w:t>
      </w:r>
    </w:p>
    <w:p w14:paraId="4DD0B836" w14:textId="1EF05739" w:rsidR="0053572E" w:rsidRDefault="0053572E">
      <w:r>
        <w:t>Je nach gewählter Berechnungsmethode werden unterschiedliche Parameter berechnet, wobei die jeweils anderen vom User angegeben werden müssen</w:t>
      </w:r>
      <w:r w:rsidR="00284461">
        <w:t xml:space="preserve"> (siehe Abbildung 1 – links </w:t>
      </w:r>
      <w:r w:rsidR="000E51A3">
        <w:t xml:space="preserve">Mitte bzw. </w:t>
      </w:r>
      <w:r w:rsidR="00284461">
        <w:t>unten)</w:t>
      </w:r>
      <w:r>
        <w:t xml:space="preserve">. </w:t>
      </w:r>
    </w:p>
    <w:p w14:paraId="621C3A0D" w14:textId="12BF9498" w:rsidR="004559E9" w:rsidRDefault="0053572E" w:rsidP="004559E9">
      <w:r>
        <w:t xml:space="preserve">Nach Start der App erscheint die erste Activity, welche den Benutzer die Eingabe der Parameter ermöglicht. Die Eingabemaske ist in 3 Abschnitte eingeteilt: </w:t>
      </w:r>
      <w:r w:rsidR="00636C06">
        <w:t>Grundangaben der</w:t>
      </w:r>
      <w:r>
        <w:t xml:space="preserve"> Arbeitsplatte (Abmessungen und Randabstände), Auswahl der Berechnungsmethode mittels RadioGroup, Angaben entsprechend der gewählten Berechnungsmethode; </w:t>
      </w:r>
      <w:r w:rsidR="00636C06">
        <w:t>Jeder Abschnitt wird erst aktiv, wenn der vorhergehende gültige Eingaben aufweist. Der „</w:t>
      </w:r>
      <w:proofErr w:type="spellStart"/>
      <w:r>
        <w:t>Apply</w:t>
      </w:r>
      <w:proofErr w:type="spellEnd"/>
      <w:r>
        <w:t>“-Button</w:t>
      </w:r>
      <w:r w:rsidR="00723CC1">
        <w:t xml:space="preserve"> wird</w:t>
      </w:r>
      <w:r>
        <w:t xml:space="preserve"> nur dann aktiv, wenn </w:t>
      </w:r>
      <w:r w:rsidR="00636C06">
        <w:t xml:space="preserve">der letzte Abschnitt, und somit alle, </w:t>
      </w:r>
      <w:r>
        <w:t xml:space="preserve">gültig sind. </w:t>
      </w:r>
      <w:r w:rsidR="00636C06">
        <w:t xml:space="preserve">Durch dieses Vorgehen wird sichergestellt, dass der User nur dann in die zweite Activity weitergeleitet wird, wenn gültige Eingaben vorliegen. </w:t>
      </w:r>
    </w:p>
    <w:p w14:paraId="044E0BD4" w14:textId="6A0A84FA" w:rsidR="00636C06" w:rsidRDefault="00636C06" w:rsidP="004559E9">
      <w:r>
        <w:t xml:space="preserve">Die </w:t>
      </w:r>
      <w:r w:rsidR="00195822">
        <w:t>z</w:t>
      </w:r>
      <w:r>
        <w:t xml:space="preserve">weite </w:t>
      </w:r>
      <w:proofErr w:type="spellStart"/>
      <w:r>
        <w:t>Activity</w:t>
      </w:r>
      <w:proofErr w:type="spellEnd"/>
      <w:r>
        <w:t xml:space="preserve"> stellt nun die Arbeitsplatte dar und informiert den User über die Abmaße nach welchen zu bohren </w:t>
      </w:r>
      <w:r w:rsidR="00BA09D7">
        <w:t>ist</w:t>
      </w:r>
      <w:r>
        <w:t xml:space="preserve">. </w:t>
      </w:r>
    </w:p>
    <w:p w14:paraId="27A124B2" w14:textId="3A537ED1" w:rsidR="006B47E7" w:rsidRDefault="006B47E7" w:rsidP="003E58E1"/>
    <w:p w14:paraId="78795197" w14:textId="4C67DA06" w:rsidR="004559E9" w:rsidRDefault="004559E9" w:rsidP="004559E9">
      <w:pPr>
        <w:rPr>
          <w:b/>
          <w:bCs/>
          <w:color w:val="5B9BD5"/>
          <w:sz w:val="24"/>
        </w:rPr>
      </w:pPr>
      <w:r w:rsidRPr="004559E9">
        <w:rPr>
          <w:b/>
          <w:bCs/>
          <w:color w:val="5B9BD5"/>
          <w:sz w:val="24"/>
        </w:rPr>
        <w:t xml:space="preserve">Erreichte KANN-Kriterien </w:t>
      </w:r>
    </w:p>
    <w:p w14:paraId="359492C5" w14:textId="070BEDE1" w:rsidR="0053572E" w:rsidRPr="0053572E" w:rsidRDefault="006D1122" w:rsidP="004559E9">
      <w:r>
        <w:t>F</w:t>
      </w:r>
      <w:r w:rsidR="0053572E">
        <w:t xml:space="preserve">olgende KANN-Kriterien </w:t>
      </w:r>
      <w:r>
        <w:t xml:space="preserve">wurden </w:t>
      </w:r>
      <w:r w:rsidR="0053572E">
        <w:t>implementiert:</w:t>
      </w:r>
    </w:p>
    <w:p w14:paraId="5584A024" w14:textId="2321F639" w:rsidR="0053572E" w:rsidRPr="0053572E" w:rsidRDefault="0053572E" w:rsidP="0053572E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53572E">
        <w:rPr>
          <w:i w:val="0"/>
          <w:iCs w:val="0"/>
          <w:color w:val="404040"/>
          <w:sz w:val="18"/>
        </w:rPr>
        <w:t>Berechnung auf Basis der Angabe des Abstands zwischen den Bohrungen</w:t>
      </w:r>
      <w:r w:rsidR="003E58E1">
        <w:rPr>
          <w:i w:val="0"/>
          <w:iCs w:val="0"/>
          <w:color w:val="404040"/>
          <w:sz w:val="18"/>
        </w:rPr>
        <w:t xml:space="preserve"> (vertikal)</w:t>
      </w:r>
    </w:p>
    <w:p w14:paraId="5C005D6B" w14:textId="3B5090CF" w:rsidR="0053572E" w:rsidRPr="0053572E" w:rsidRDefault="0053572E" w:rsidP="0053572E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53572E">
        <w:rPr>
          <w:i w:val="0"/>
          <w:iCs w:val="0"/>
          <w:color w:val="404040"/>
          <w:sz w:val="18"/>
        </w:rPr>
        <w:t xml:space="preserve">Berechnung </w:t>
      </w:r>
      <w:r w:rsidR="003E58E1">
        <w:rPr>
          <w:i w:val="0"/>
          <w:iCs w:val="0"/>
          <w:color w:val="404040"/>
          <w:sz w:val="18"/>
        </w:rPr>
        <w:t xml:space="preserve">der maximalen Bohrungen </w:t>
      </w:r>
    </w:p>
    <w:p w14:paraId="2EB41A73" w14:textId="630ED55A" w:rsidR="0053572E" w:rsidRDefault="003E58E1" w:rsidP="0053572E">
      <w:pPr>
        <w:pStyle w:val="Listenabsatz"/>
        <w:numPr>
          <w:ilvl w:val="0"/>
          <w:numId w:val="25"/>
        </w:numPr>
      </w:pPr>
      <w:r>
        <w:t>User-Manuel</w:t>
      </w:r>
    </w:p>
    <w:p w14:paraId="4B1BC386" w14:textId="3EAF84A9" w:rsidR="003E58E1" w:rsidRDefault="003E58E1" w:rsidP="0053572E">
      <w:pPr>
        <w:pStyle w:val="Listenabsatz"/>
        <w:numPr>
          <w:ilvl w:val="0"/>
          <w:numId w:val="25"/>
        </w:numPr>
      </w:pPr>
      <w:r>
        <w:t>Technische Dokumentation</w:t>
      </w:r>
    </w:p>
    <w:p w14:paraId="5F72E63C" w14:textId="77777777" w:rsidR="006D1122" w:rsidRPr="0053572E" w:rsidRDefault="006D1122" w:rsidP="006D1122">
      <w:pPr>
        <w:pStyle w:val="Listenabsatz"/>
      </w:pPr>
    </w:p>
    <w:p w14:paraId="6260D22D" w14:textId="48723699" w:rsidR="004559E9" w:rsidRDefault="004559E9" w:rsidP="004559E9">
      <w:pPr>
        <w:rPr>
          <w:b/>
          <w:bCs/>
          <w:color w:val="5B9BD5"/>
          <w:sz w:val="24"/>
        </w:rPr>
      </w:pPr>
      <w:r w:rsidRPr="004559E9">
        <w:rPr>
          <w:b/>
          <w:bCs/>
          <w:color w:val="5B9BD5"/>
          <w:sz w:val="24"/>
        </w:rPr>
        <w:t xml:space="preserve">Nicht erreichte KANN-Kriterien </w:t>
      </w:r>
    </w:p>
    <w:p w14:paraId="409FF830" w14:textId="458339A5" w:rsidR="006D1122" w:rsidRPr="0053572E" w:rsidRDefault="006D1122" w:rsidP="006D1122">
      <w:r>
        <w:t xml:space="preserve">Folgende KANN-Kriterien wurden </w:t>
      </w:r>
      <w:r w:rsidRPr="006D1122">
        <w:rPr>
          <w:u w:val="single"/>
        </w:rPr>
        <w:t>nicht</w:t>
      </w:r>
      <w:r>
        <w:t xml:space="preserve"> implementiert:</w:t>
      </w:r>
    </w:p>
    <w:p w14:paraId="4EB2B125" w14:textId="6E493061" w:rsidR="00C8698A" w:rsidRPr="003E58E1" w:rsidRDefault="003E58E1" w:rsidP="003E58E1">
      <w:pPr>
        <w:pStyle w:val="Listenabsatz"/>
        <w:rPr>
          <w:b/>
          <w:bCs/>
          <w:color w:val="5B9BD5"/>
          <w:sz w:val="24"/>
        </w:rPr>
      </w:pPr>
      <w:r>
        <w:rPr>
          <w:b/>
          <w:bCs/>
          <w:color w:val="5B9BD5"/>
          <w:sz w:val="24"/>
        </w:rPr>
        <w:t>-</w:t>
      </w:r>
      <w:bookmarkStart w:id="0" w:name="_GoBack"/>
      <w:bookmarkEnd w:id="0"/>
    </w:p>
    <w:sectPr w:rsidR="00C8698A" w:rsidRPr="003E58E1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80EDB" w14:textId="77777777" w:rsidR="00057869" w:rsidRDefault="00057869">
      <w:pPr>
        <w:spacing w:after="0" w:line="240" w:lineRule="auto"/>
      </w:pPr>
      <w:r>
        <w:separator/>
      </w:r>
    </w:p>
  </w:endnote>
  <w:endnote w:type="continuationSeparator" w:id="0">
    <w:p w14:paraId="11C6F24C" w14:textId="77777777" w:rsidR="00057869" w:rsidRDefault="0005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F6827" w14:textId="77777777" w:rsidR="00057869" w:rsidRDefault="00057869">
      <w:pPr>
        <w:spacing w:after="0" w:line="240" w:lineRule="auto"/>
      </w:pPr>
      <w:r>
        <w:separator/>
      </w:r>
    </w:p>
  </w:footnote>
  <w:footnote w:type="continuationSeparator" w:id="0">
    <w:p w14:paraId="52D5AF9F" w14:textId="77777777" w:rsidR="00057869" w:rsidRDefault="00057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0578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5FA"/>
    <w:multiLevelType w:val="hybridMultilevel"/>
    <w:tmpl w:val="A880CA74"/>
    <w:lvl w:ilvl="0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3D81D8E"/>
    <w:multiLevelType w:val="hybridMultilevel"/>
    <w:tmpl w:val="016E23A2"/>
    <w:lvl w:ilvl="0" w:tplc="0C07000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</w:abstractNum>
  <w:abstractNum w:abstractNumId="2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9215624"/>
    <w:multiLevelType w:val="hybridMultilevel"/>
    <w:tmpl w:val="2F8C6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B4851"/>
    <w:multiLevelType w:val="hybridMultilevel"/>
    <w:tmpl w:val="FEA2595E"/>
    <w:lvl w:ilvl="0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8DF4634"/>
    <w:multiLevelType w:val="hybridMultilevel"/>
    <w:tmpl w:val="DD72EB56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D447EA3"/>
    <w:multiLevelType w:val="hybridMultilevel"/>
    <w:tmpl w:val="1438F1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6371398A"/>
    <w:multiLevelType w:val="hybridMultilevel"/>
    <w:tmpl w:val="51DA888E"/>
    <w:lvl w:ilvl="0" w:tplc="C5A866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DEA6A11"/>
    <w:multiLevelType w:val="hybridMultilevel"/>
    <w:tmpl w:val="999C86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06A51"/>
    <w:multiLevelType w:val="hybridMultilevel"/>
    <w:tmpl w:val="DCF8D9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 w15:restartNumberingAfterBreak="0">
    <w:nsid w:val="7573035A"/>
    <w:multiLevelType w:val="hybridMultilevel"/>
    <w:tmpl w:val="AF12C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5"/>
  </w:num>
  <w:num w:numId="2">
    <w:abstractNumId w:val="22"/>
  </w:num>
  <w:num w:numId="3">
    <w:abstractNumId w:val="18"/>
  </w:num>
  <w:num w:numId="4">
    <w:abstractNumId w:val="8"/>
  </w:num>
  <w:num w:numId="5">
    <w:abstractNumId w:val="25"/>
  </w:num>
  <w:num w:numId="6">
    <w:abstractNumId w:val="23"/>
  </w:num>
  <w:num w:numId="7">
    <w:abstractNumId w:val="2"/>
  </w:num>
  <w:num w:numId="8">
    <w:abstractNumId w:val="16"/>
  </w:num>
  <w:num w:numId="9">
    <w:abstractNumId w:val="5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  <w:num w:numId="14">
    <w:abstractNumId w:val="26"/>
  </w:num>
  <w:num w:numId="15">
    <w:abstractNumId w:val="19"/>
  </w:num>
  <w:num w:numId="16">
    <w:abstractNumId w:val="7"/>
  </w:num>
  <w:num w:numId="17">
    <w:abstractNumId w:val="10"/>
  </w:num>
  <w:num w:numId="18">
    <w:abstractNumId w:val="1"/>
  </w:num>
  <w:num w:numId="19">
    <w:abstractNumId w:val="14"/>
  </w:num>
  <w:num w:numId="20">
    <w:abstractNumId w:val="20"/>
  </w:num>
  <w:num w:numId="21">
    <w:abstractNumId w:val="12"/>
  </w:num>
  <w:num w:numId="22">
    <w:abstractNumId w:val="13"/>
  </w:num>
  <w:num w:numId="23">
    <w:abstractNumId w:val="0"/>
  </w:num>
  <w:num w:numId="24">
    <w:abstractNumId w:val="24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060E0"/>
    <w:rsid w:val="00057869"/>
    <w:rsid w:val="00084847"/>
    <w:rsid w:val="000A4878"/>
    <w:rsid w:val="000E51A3"/>
    <w:rsid w:val="00117ACA"/>
    <w:rsid w:val="00195822"/>
    <w:rsid w:val="001A4BC7"/>
    <w:rsid w:val="002328B5"/>
    <w:rsid w:val="0023605D"/>
    <w:rsid w:val="002442B1"/>
    <w:rsid w:val="002517DA"/>
    <w:rsid w:val="00252DDF"/>
    <w:rsid w:val="00284461"/>
    <w:rsid w:val="002F012E"/>
    <w:rsid w:val="00321589"/>
    <w:rsid w:val="003858F4"/>
    <w:rsid w:val="003C5336"/>
    <w:rsid w:val="003E58E1"/>
    <w:rsid w:val="003F1B50"/>
    <w:rsid w:val="004140D5"/>
    <w:rsid w:val="004559E9"/>
    <w:rsid w:val="00506D8A"/>
    <w:rsid w:val="0053572E"/>
    <w:rsid w:val="005357A5"/>
    <w:rsid w:val="005650DB"/>
    <w:rsid w:val="00597385"/>
    <w:rsid w:val="005C6FBB"/>
    <w:rsid w:val="005D44A8"/>
    <w:rsid w:val="005F36EB"/>
    <w:rsid w:val="00605782"/>
    <w:rsid w:val="00622E41"/>
    <w:rsid w:val="0062483D"/>
    <w:rsid w:val="00636C06"/>
    <w:rsid w:val="00684DB2"/>
    <w:rsid w:val="006A77DA"/>
    <w:rsid w:val="006B47E7"/>
    <w:rsid w:val="006C2F35"/>
    <w:rsid w:val="006D1122"/>
    <w:rsid w:val="00723CC1"/>
    <w:rsid w:val="00736743"/>
    <w:rsid w:val="00737E63"/>
    <w:rsid w:val="008023EB"/>
    <w:rsid w:val="00822877"/>
    <w:rsid w:val="00827134"/>
    <w:rsid w:val="008A7853"/>
    <w:rsid w:val="008B0DFA"/>
    <w:rsid w:val="008E4700"/>
    <w:rsid w:val="008F68BC"/>
    <w:rsid w:val="00900C28"/>
    <w:rsid w:val="00910085"/>
    <w:rsid w:val="00910CCF"/>
    <w:rsid w:val="009402CA"/>
    <w:rsid w:val="00955C1E"/>
    <w:rsid w:val="009623E3"/>
    <w:rsid w:val="0097079E"/>
    <w:rsid w:val="0097102F"/>
    <w:rsid w:val="00986DBB"/>
    <w:rsid w:val="00992E13"/>
    <w:rsid w:val="009D5C09"/>
    <w:rsid w:val="00A445CC"/>
    <w:rsid w:val="00A54EF8"/>
    <w:rsid w:val="00A83FA2"/>
    <w:rsid w:val="00B70ED5"/>
    <w:rsid w:val="00B94EC5"/>
    <w:rsid w:val="00BA09D7"/>
    <w:rsid w:val="00BE4A29"/>
    <w:rsid w:val="00C116B6"/>
    <w:rsid w:val="00C346C4"/>
    <w:rsid w:val="00C64E79"/>
    <w:rsid w:val="00C8698A"/>
    <w:rsid w:val="00CB2293"/>
    <w:rsid w:val="00D201F5"/>
    <w:rsid w:val="00D31A02"/>
    <w:rsid w:val="00D37F95"/>
    <w:rsid w:val="00DD14CF"/>
    <w:rsid w:val="00DD57F8"/>
    <w:rsid w:val="00DE7D51"/>
    <w:rsid w:val="00E17F12"/>
    <w:rsid w:val="00E27DFA"/>
    <w:rsid w:val="00E56CE2"/>
    <w:rsid w:val="00E74F00"/>
    <w:rsid w:val="00E76CD5"/>
    <w:rsid w:val="00E82A21"/>
    <w:rsid w:val="00E90B89"/>
    <w:rsid w:val="00EF34A9"/>
    <w:rsid w:val="00F32B15"/>
    <w:rsid w:val="00F42EF3"/>
    <w:rsid w:val="00F73554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  <w:style w:type="character" w:styleId="Hyperlink">
    <w:name w:val="Hyperlink"/>
    <w:basedOn w:val="Absatz-Standardschriftart"/>
    <w:uiPriority w:val="99"/>
    <w:unhideWhenUsed/>
    <w:rsid w:val="00C346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57</cp:revision>
  <cp:lastPrinted>2018-12-28T15:53:00Z</cp:lastPrinted>
  <dcterms:created xsi:type="dcterms:W3CDTF">2018-12-27T17:16:00Z</dcterms:created>
  <dcterms:modified xsi:type="dcterms:W3CDTF">2019-03-27T07:07:00Z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