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pPr>
      <w:r>
        <w:rPr>
          <w:rFonts w:ascii="Arial" w:hAnsi="Arial"/>
          <w:b/>
          <w:i w:val="0"/>
          <w:color w:val="1F3864"/>
          <w:sz w:val="38"/>
        </w:rPr>
        <w:t>LOAD SELECTION &amp; PROFITABILITY MODEL</w:t>
      </w:r>
    </w:p>
    <w:p>
      <w:pPr>
        <w:spacing w:before="0" w:after="60"/>
      </w:pPr>
      <w:r>
        <w:rPr>
          <w:rFonts w:ascii="Arial" w:hAnsi="Arial"/>
          <w:b w:val="0"/>
          <w:i w:val="0"/>
          <w:color w:val="0F6E64"/>
          <w:sz w:val="24"/>
        </w:rPr>
        <w:t xml:space="preserve">Version 3  —  cost stack reconciled to owner-operator settlement history</w:t>
      </w:r>
    </w:p>
    <w:p>
      <w:pPr>
        <w:spacing w:before="0" w:after="40"/>
      </w:pPr>
      <w:r>
        <w:rPr>
          <w:rFonts w:ascii="Arial" w:hAnsi="Arial"/>
          <w:b w:val="0"/>
          <w:i w:val="0"/>
          <w:color w:val="5B6573"/>
          <w:sz w:val="19"/>
        </w:rPr>
        <w:t>A weighted multi-criteria decision system for freight selection under real operating constraints</w:t>
      </w:r>
    </w:p>
    <w:p>
      <w:pPr>
        <w:spacing w:before="0" w:after="200"/>
      </w:pPr>
      <w:r>
        <w:rPr>
          <w:rFonts w:ascii="Arial" w:hAnsi="Arial"/>
          <w:b w:val="0"/>
          <w:i w:val="0"/>
          <w:color w:val="5B6573"/>
          <w:sz w:val="17"/>
        </w:rPr>
        <w:t>Business analysis and decision-support portfolio   ·   Christopher D. Sheppard   ·   Tee 2 Green Golf Labs</w:t>
      </w:r>
    </w:p>
    <w:p>
      <w:pPr>
        <w:spacing w:before="0" w:after="200"/>
      </w:pPr>
      <w:r>
        <w:rPr>
          <w:rFonts w:ascii="Arial" w:hAnsi="Arial"/>
          <w:b w:val="0"/>
          <w:i w:val="0"/>
          <w:color w:val="5B6573"/>
          <w:sz w:val="17"/>
        </w:rPr>
        <w:t xml:space="preserve">Built on eighteen completed loads from my own operation. Cost-per-mile inputs are derived from my own settlement history, using multi-year averages for the fixed and variable components and the most recent three weeks as current-period figures. These are actual operating numbers from a single owner-operator. They are not third-party audited results and, except for the explicitly labeled tire reserve, they are not industry benchmarks.</w:t>
      </w:r>
    </w:p>
    <w:p>
      <w:pPr>
        <w:spacing w:before="300" w:after="100"/>
        <w:keepNext w:val="1"/>
      </w:pPr>
      <w:r>
        <w:rPr>
          <w:rFonts w:ascii="Arial" w:hAnsi="Arial"/>
          <w:b/>
          <w:color w:val="1F3864"/>
          <w:sz w:val="23"/>
        </w:rPr>
        <w:t>THE OPERATING PROBLEM</w:t>
      </w:r>
    </w:p>
    <w:p>
      <w:pPr>
        <w:spacing w:before="0" w:after="120"/>
      </w:pPr>
      <w:r>
        <w:rPr>
          <w:rFonts w:ascii="Arial" w:hAnsi="Arial"/>
          <w:b w:val="0"/>
          <w:i w:val="0"/>
          <w:color w:val="202020"/>
          <w:sz w:val="19"/>
        </w:rPr>
        <w:t>A freight offer arrives as one number. The rate. Almost everything that determines whether the load is worth running sits outside that number: empty miles to reach the shipper, fuel burn at weight, hours surrendered to a slow receiver, and whether the destination has freight moving back out of it. Two loads posted at the same rate per mile can differ by several hundred dollars in what they actually leave behind. The call has to be made in minutes, repeatedly, under fatigue, and the attractive answer and the profitable answer disagree often enough to matter.</w:t>
      </w:r>
    </w:p>
    <w:p>
      <w:pPr>
        <w:spacing w:before="0" w:after="120"/>
      </w:pPr>
      <w:r>
        <w:rPr>
          <w:rFonts w:ascii="Arial" w:hAnsi="Arial"/>
          <w:b w:val="0"/>
          <w:i w:val="0"/>
          <w:color w:val="202020"/>
          <w:sz w:val="19"/>
        </w:rPr>
        <w:t>I have made this decision a few thousand times across eight years of nationwide flatbed operation. The judgment worked. It was also unwritten, which meant no one could check it, I could not hand it to a driver I was training, and it degraded exactly when I was most tired. This model exists to get that reasoning onto paper where it can be argued with.</w:t>
      </w:r>
    </w:p>
    <w:p>
      <w:pPr>
        <w:spacing w:before="300" w:after="100"/>
        <w:keepNext w:val="1"/>
      </w:pPr>
      <w:r>
        <w:rPr>
          <w:rFonts w:ascii="Arial" w:hAnsi="Arial"/>
          <w:b/>
          <w:color w:val="1F3864"/>
          <w:sz w:val="23"/>
        </w:rPr>
        <w:t>THREE VERSIONS, TWO CORRECTIONS FROM EVIDENCE</w:t>
      </w:r>
    </w:p>
    <w:p>
      <w:pPr>
        <w:spacing w:before="0" w:after="120"/>
      </w:pPr>
      <w:r>
        <w:rPr>
          <w:rFonts w:ascii="Arial" w:hAnsi="Arial"/>
          <w:b w:val="0"/>
          <w:i w:val="0"/>
          <w:color w:val="202020"/>
          <w:sz w:val="19"/>
        </w:rPr>
        <w:t>Version 1 ran on seven representative lanes and illustrative cost figures. It looked correct. That was the flaw. Nothing in it could be shown wrong, because nothing in it had been tested against a decision I had actually made.</w:t>
      </w:r>
    </w:p>
    <w:p>
      <w:pPr>
        <w:spacing w:before="0" w:after="120"/>
      </w:pPr>
      <w:r>
        <w:rPr>
          <w:rFonts w:ascii="Arial" w:hAnsi="Arial"/>
          <w:b w:val="0"/>
          <w:i w:val="0"/>
          <w:color w:val="202020"/>
          <w:sz w:val="19"/>
        </w:rPr>
        <w:t>Version 2 rebuilt it on 18 completed trips from Prime app history — 19,214 miles and $41,501.02 — with the score I assigned each load after delivery. That exposed a phantom $0.280 per mile truck payment on equipment I own outright, a single-point fuel assumption that ignored weight class, and a destination-value weight set far too low.</w:t>
      </w:r>
    </w:p>
    <w:p>
      <w:pPr>
        <w:spacing w:before="0" w:after="160"/>
      </w:pPr>
      <w:r>
        <w:rPr>
          <w:rFonts w:ascii="Arial" w:hAnsi="Arial"/>
          <w:b w:val="0"/>
          <w:i w:val="0"/>
          <w:color w:val="202020"/>
          <w:sz w:val="19"/>
        </w:rPr>
        <w:t xml:space="preserve">Version 3 source-checked the cost stack line by line against my own settlement history. Fixed and variable components use multi-year averages, and the current-period figures use the most recent three weeks. The explicitly labeled tire reserve is the one industry placeholder, because tire spend does not appear on the settlement.</w:t>
      </w:r>
    </w:p>
    <w:tbl>
      <w:tblPr>
        <w:tblW w:type="auto" w:w="0"/>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120" w:type="dxa"/>
          <w:left w:w="160" w:type="dxa"/>
          <w:bottom w:w="120" w:type="dxa"/>
          <w:right w:w="160" w:type="dxa"/>
        </w:tblCellMar>
        <w:tblLayout w:type="fixed"/>
        <w:tblW w:w="9748" w:type="dxa"/>
      </w:tblPr>
      <w:tblGrid>
        <w:gridCol w:w="9748"/>
      </w:tblGrid>
      <w:tr>
        <w:tc>
          <w:tcPr>
            <w:tcW w:type="dxa" w:w="9749"/>
            <w:shd w:val="clear" w:fill="F2F5F9"/>
          </w:tcPr>
          <w:p>
            <w:pPr>
              <w:spacing w:after="60"/>
            </w:pPr>
            <w:r>
              <w:rPr>
                <w:rFonts w:ascii="Arial" w:hAnsi="Arial"/>
                <w:b/>
                <w:color w:val="1F3864"/>
                <w:sz w:val="19"/>
              </w:rPr>
              <w:t>What the settlement confirmed</w:t>
            </w:r>
          </w:p>
          <w:p>
            <w:pPr>
              <w:spacing w:after="60" w:before="0"/>
            </w:pPr>
            <w:r>
              <w:rPr>
                <w:rFonts w:ascii="Arial" w:hAnsi="Arial"/>
                <w:color w:val="202020"/>
                <w:sz w:val="18"/>
              </w:rPr>
              <w:t>The 18-load sample blends to $2.1599 per mile. The statement reads $2.163 year to date across 56,752 miles. A 0.15% difference.</w:t>
            </w:r>
          </w:p>
          <w:p>
            <w:pPr>
              <w:spacing w:after="60" w:before="0"/>
            </w:pPr>
            <w:r>
              <w:rPr>
                <w:rFonts w:ascii="Arial" w:hAnsi="Arial"/>
                <w:color w:val="202020"/>
                <w:sz w:val="18"/>
              </w:rPr>
              <w:t>That matters more than it sounds. It means the eighteen loads are a fair slice of the year rather than a flattering selection, which is the first thing a reader should suspect about a sample somebody chose themselves.</w:t>
            </w:r>
          </w:p>
        </w:tc>
      </w:tr>
    </w:tbl>
    <w:p>
      <w:pPr>
        <w:spacing w:after="40"/>
      </w:pPr>
    </w:p>
    <w:p>
      <w:pPr>
        <w:spacing w:before="300" w:after="100"/>
        <w:keepNext w:val="1"/>
      </w:pPr>
      <w:r>
        <w:rPr>
          <w:rFonts w:ascii="Arial" w:hAnsi="Arial"/>
          <w:b/>
          <w:color w:val="1F3864"/>
          <w:sz w:val="23"/>
        </w:rPr>
        <w:t>WHAT THE SETTLEMENT DISPROVED</w:t>
      </w:r>
    </w:p>
    <w:p>
      <w:pPr>
        <w:spacing w:before="0" w:after="100"/>
        <w:ind w:left="317"/>
      </w:pPr>
      <w:r>
        <w:rPr>
          <w:rFonts w:ascii="Arial" w:hAnsi="Arial"/>
          <w:b/>
          <w:color w:val="1F3864"/>
          <w:sz w:val="19"/>
        </w:rPr>
        <w:t xml:space="preserve">•   </w:t>
      </w:r>
      <w:r>
        <w:rPr>
          <w:rFonts w:ascii="Arial" w:hAnsi="Arial"/>
          <w:b/>
          <w:color w:val="202020"/>
          <w:sz w:val="19"/>
        </w:rPr>
        <w:t xml:space="preserve">Maintenance.  </w:t>
      </w:r>
      <w:r>
        <w:rPr>
          <w:rFonts w:ascii="Arial" w:hAnsi="Arial"/>
          <w:color w:val="202020"/>
          <w:sz w:val="19"/>
        </w:rPr>
        <w:t>Reserved at $0.180 per mile. Actual is $0.065 year to date and $0.070 lifetime. A 2.8x over-reserve carried through two versions of this model without anyone noticing, because it sat inside a total that looked reasonable.</w:t>
      </w:r>
    </w:p>
    <w:p>
      <w:pPr>
        <w:spacing w:before="0" w:after="100"/>
        <w:ind w:left="317"/>
      </w:pPr>
      <w:r>
        <w:rPr>
          <w:rFonts w:ascii="Arial" w:hAnsi="Arial"/>
          <w:b/>
          <w:color w:val="1F3864"/>
          <w:sz w:val="19"/>
        </w:rPr>
        <w:t xml:space="preserve">•   </w:t>
      </w:r>
      <w:r>
        <w:rPr>
          <w:rFonts w:ascii="Arial" w:hAnsi="Arial"/>
          <w:b/>
          <w:color w:val="202020"/>
          <w:sz w:val="19"/>
        </w:rPr>
        <w:t xml:space="preserve">Tires — and I got this one wrong twice.  </w:t>
      </w:r>
      <w:r>
        <w:rPr>
          <w:rFonts w:ascii="Arial" w:hAnsi="Arial"/>
          <w:color w:val="202020"/>
          <w:sz w:val="19"/>
        </w:rPr>
        <w:t>The statement shows a tire fund accrual and a fund dispersal offsetting to the cent, and an earlier version of this model read that as evidence that tires cost nothing. Prime runs a tire fund for lease drivers, not owner-operators — for my unit those lines are vestigial. I buy tires personally out of a working emergency fund, so they never touch the settlement. The statement does not show a zero cost. It shows no cost, which is a different thing, and the model carries $0.045 per mile as a reserve because of it.</w:t>
      </w:r>
    </w:p>
    <w:p>
      <w:pPr>
        <w:spacing w:before="0" w:after="100"/>
        <w:ind w:left="317"/>
      </w:pPr>
      <w:r>
        <w:rPr>
          <w:rFonts w:ascii="Arial" w:hAnsi="Arial"/>
          <w:b/>
          <w:color w:val="1F3864"/>
          <w:sz w:val="19"/>
        </w:rPr>
        <w:t xml:space="preserve">•   </w:t>
      </w:r>
      <w:r>
        <w:rPr>
          <w:rFonts w:ascii="Arial" w:hAnsi="Arial"/>
          <w:b/>
          <w:color w:val="202020"/>
          <w:sz w:val="19"/>
        </w:rPr>
        <w:t xml:space="preserve">Diesel.  </w:t>
      </w:r>
      <w:r>
        <w:rPr>
          <w:rFonts w:ascii="Arial" w:hAnsi="Arial"/>
          <w:color w:val="202020"/>
          <w:sz w:val="19"/>
        </w:rPr>
        <w:t>Modelled at $3.70 a gallon. The settlement week shows $4.933 at the pump against a Prime discount of $0.857, for a net of $4.076. Working backwards from the year-to-date fuel line gives a blended 7.20 mpg, which sits exactly where an operator running mostly heavy flatbed with some light freight should land.</w:t>
      </w:r>
    </w:p>
    <w:p>
      <w:pPr>
        <w:spacing w:before="0" w:after="100"/>
        <w:ind w:left="317"/>
      </w:pPr>
      <w:r>
        <w:rPr>
          <w:rFonts w:ascii="Arial" w:hAnsi="Arial"/>
          <w:b/>
          <w:color w:val="1F3864"/>
          <w:sz w:val="19"/>
        </w:rPr>
        <w:t xml:space="preserve">•   </w:t>
      </w:r>
      <w:r>
        <w:rPr>
          <w:rFonts w:ascii="Arial" w:hAnsi="Arial"/>
          <w:b/>
          <w:color w:val="202020"/>
          <w:sz w:val="19"/>
        </w:rPr>
        <w:t xml:space="preserve">Annual miles.  </w:t>
      </w:r>
      <w:r>
        <w:rPr>
          <w:rFonts w:ascii="Arial" w:hAnsi="Arial"/>
          <w:color w:val="202020"/>
          <w:sz w:val="19"/>
        </w:rPr>
        <w:t>Assumed at 120,000 with nothing behind the number. The statement gives a lifetime average of 101,057, and I did not adopt that either. See the section below.</w:t>
      </w:r>
    </w:p>
    <w:p>
      <w:pPr>
        <w:spacing w:before="0" w:after="120"/>
      </w:pPr>
      <w:r>
        <w:rPr>
          <w:rFonts w:ascii="Arial" w:hAnsi="Arial"/>
          <w:b w:val="0"/>
          <w:i w:val="0"/>
          <w:color w:val="202020"/>
          <w:sz w:val="19"/>
        </w:rPr>
        <w:t xml:space="preserve">The errors ran in opposite directions and mostly cancelled. The version 2 all-in figure was accurate to within eight cents for entirely the wrong reasons. That is the argument for reconciling a model to source records instead of admiring it, and it is the reason this document has a version 3 rather than a polish of version 2.</w:t>
      </w:r>
    </w:p>
    <w:p>
      <w:pPr>
        <w:spacing w:before="300" w:after="100"/>
        <w:keepNext w:val="1"/>
      </w:pPr>
      <w:r>
        <w:rPr>
          <w:rFonts w:ascii="Arial" w:hAnsi="Arial"/>
          <w:b/>
          <w:color w:val="1F3864"/>
          <w:sz w:val="23"/>
        </w:rPr>
        <w:t>THE ONE STATEMENT FIGURE I DID NOT ADOPT</w:t>
      </w:r>
    </w:p>
    <w:p>
      <w:pPr>
        <w:spacing w:before="0" w:after="120"/>
      </w:pPr>
      <w:r>
        <w:rPr>
          <w:rFonts w:ascii="Arial" w:hAnsi="Arial"/>
          <w:b w:val="0"/>
          <w:i w:val="0"/>
          <w:color w:val="202020"/>
          <w:sz w:val="19"/>
        </w:rPr>
        <w:t xml:space="preserve">The operating statement reports 1,943.413 miles per week across 237 weeks in service, which annualises to 101,057. That number is source-checked and I still did not use it, because it contains an extended family-leave year in which I was off roughly seven months against a normal two. A lifetime average of a business that shut down for half a year is a real measurement of the past. It is not a run rate, and fixed cost per mile divides by a run rate.</w:t>
      </w:r>
    </w:p>
    <w:p>
      <w:pPr>
        <w:spacing w:before="0" w:after="160"/>
      </w:pPr>
      <w:r>
        <w:rPr>
          <w:rFonts w:ascii="Arial" w:hAnsi="Arial"/>
          <w:b w:val="0"/>
          <w:i w:val="0"/>
          <w:color w:val="202020"/>
          <w:sz w:val="19"/>
        </w:rPr>
        <w:t>Two reconstructions were run against each other rather than picking one and hoping. Removing that year at roughly 21.7 working weeks leaves 185 weeks averaging 2,167 to 2,196 miles, or 111,000 to 114,000 a year. Building it up independently from 44 working weeks at 2,500 to 2,600 miles gives 110,000 to 114,400. One method from the top, one from the bottom, landing within 3,000 miles of each other.</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1526"/>
        <w:gridCol w:w="1324"/>
        <w:gridCol w:w="1670"/>
        <w:gridCol w:w="5227"/>
      </w:tblGrid>
      <w:tr>
        <w:trPr>
          <w:tblHeader/>
        </w:trPr>
        <w:tc>
          <w:tcPr>
            <w:tcW w:type="dxa" w:w="1526"/>
            <w:shd w:val="clear" w:fill="1F3864"/>
          </w:tcPr>
          <w:p>
            <w:pPr>
              <w:spacing w:after="0" w:before="0"/>
              <w:jc w:val="center"/>
            </w:pPr>
            <w:r>
              <w:rPr>
                <w:rFonts w:ascii="Arial" w:hAnsi="Arial"/>
                <w:b/>
                <w:color w:val="FFFFFF"/>
                <w:sz w:val="16"/>
              </w:rPr>
              <w:t>Annual miles</w:t>
            </w:r>
          </w:p>
        </w:tc>
        <w:tc>
          <w:tcPr>
            <w:tcW w:type="dxa" w:w="1325"/>
            <w:shd w:val="clear" w:fill="1F3864"/>
          </w:tcPr>
          <w:p>
            <w:pPr>
              <w:spacing w:after="0" w:before="0"/>
              <w:jc w:val="center"/>
            </w:pPr>
            <w:r>
              <w:rPr>
                <w:rFonts w:ascii="Arial" w:hAnsi="Arial"/>
                <w:b/>
                <w:color w:val="FFFFFF"/>
                <w:sz w:val="16"/>
              </w:rPr>
              <w:t>Fixed CPM</w:t>
            </w:r>
          </w:p>
        </w:tc>
        <w:tc>
          <w:tcPr>
            <w:tcW w:type="dxa" w:w="1670"/>
            <w:shd w:val="clear" w:fill="1F3864"/>
          </w:tcPr>
          <w:p>
            <w:pPr>
              <w:spacing w:after="0" w:before="0"/>
              <w:jc w:val="center"/>
            </w:pPr>
            <w:r>
              <w:rPr>
                <w:rFonts w:ascii="Arial" w:hAnsi="Arial"/>
                <w:b/>
                <w:color w:val="FFFFFF"/>
                <w:sz w:val="16"/>
              </w:rPr>
              <w:t>Heavy break-even</w:t>
            </w:r>
          </w:p>
        </w:tc>
        <w:tc>
          <w:tcPr>
            <w:tcW w:type="dxa" w:w="5227"/>
            <w:shd w:val="clear" w:fill="1F3864"/>
          </w:tcPr>
          <w:p>
            <w:pPr>
              <w:spacing w:after="0" w:before="0"/>
            </w:pPr>
            <w:r>
              <w:rPr>
                <w:rFonts w:ascii="Arial" w:hAnsi="Arial"/>
                <w:b/>
                <w:color w:val="FFFFFF"/>
                <w:sz w:val="16"/>
              </w:rPr>
              <w:t>What it represents</w:t>
            </w:r>
          </w:p>
        </w:tc>
      </w:tr>
      <w:tr>
        <w:tc>
          <w:tcPr>
            <w:tcW w:type="dxa" w:w="1526"/>
          </w:tcPr>
          <w:p>
            <w:pPr>
              <w:spacing w:after="0" w:before="0"/>
              <w:jc w:val="center"/>
            </w:pPr>
            <w:r>
              <w:rPr>
                <w:rFonts w:ascii="Arial" w:hAnsi="Arial"/>
                <w:b w:val="0"/>
                <w:color w:val="202020"/>
                <w:sz w:val="16"/>
              </w:rPr>
              <w:t>98,000</w:t>
            </w:r>
          </w:p>
        </w:tc>
        <w:tc>
          <w:tcPr>
            <w:tcW w:type="dxa" w:w="1325"/>
          </w:tcPr>
          <w:p>
            <w:pPr>
              <w:spacing w:after="0" w:before="0"/>
              <w:jc w:val="center"/>
            </w:pPr>
            <w:r>
              <w:rPr>
                <w:rFonts w:ascii="Arial" w:hAnsi="Arial"/>
                <w:b w:val="0"/>
                <w:color w:val="202020"/>
                <w:sz w:val="16"/>
              </w:rPr>
              <w:t>$0.1299</w:t>
            </w:r>
          </w:p>
        </w:tc>
        <w:tc>
          <w:tcPr>
            <w:tcW w:type="dxa" w:w="1670"/>
          </w:tcPr>
          <w:p>
            <w:pPr>
              <w:spacing w:after="0" w:before="0"/>
              <w:jc w:val="center"/>
            </w:pPr>
            <w:r>
              <w:rPr>
                <w:rFonts w:ascii="Arial" w:hAnsi="Arial"/>
                <w:b w:val="0"/>
                <w:color w:val="202020"/>
                <w:sz w:val="16"/>
              </w:rPr>
              <w:t>$0.952</w:t>
            </w:r>
          </w:p>
        </w:tc>
        <w:tc>
          <w:tcPr>
            <w:tcW w:type="dxa" w:w="5227"/>
          </w:tcPr>
          <w:p>
            <w:pPr>
              <w:spacing w:after="0" w:before="0"/>
            </w:pPr>
            <w:r>
              <w:rPr>
                <w:rFonts w:ascii="Arial" w:hAnsi="Arial"/>
                <w:b w:val="0"/>
                <w:color w:val="202020"/>
                <w:sz w:val="16"/>
              </w:rPr>
              <w:t>A low-utilization year like the family-leave one</w:t>
            </w:r>
          </w:p>
        </w:tc>
      </w:tr>
      <w:tr>
        <w:tc>
          <w:tcPr>
            <w:tcW w:type="dxa" w:w="1526"/>
            <w:shd w:val="clear" w:fill="F2F5F9"/>
          </w:tcPr>
          <w:p>
            <w:pPr>
              <w:spacing w:after="0" w:before="0"/>
              <w:jc w:val="center"/>
            </w:pPr>
            <w:r>
              <w:rPr>
                <w:rFonts w:ascii="Arial" w:hAnsi="Arial"/>
                <w:b w:val="0"/>
                <w:color w:val="202020"/>
                <w:sz w:val="16"/>
              </w:rPr>
              <w:t>101,057</w:t>
            </w:r>
          </w:p>
        </w:tc>
        <w:tc>
          <w:tcPr>
            <w:tcW w:type="dxa" w:w="1325"/>
            <w:shd w:val="clear" w:fill="F2F5F9"/>
          </w:tcPr>
          <w:p>
            <w:pPr>
              <w:spacing w:after="0" w:before="0"/>
              <w:jc w:val="center"/>
            </w:pPr>
            <w:r>
              <w:rPr>
                <w:rFonts w:ascii="Arial" w:hAnsi="Arial"/>
                <w:b w:val="0"/>
                <w:color w:val="202020"/>
                <w:sz w:val="16"/>
              </w:rPr>
              <w:t>$0.1260</w:t>
            </w:r>
          </w:p>
        </w:tc>
        <w:tc>
          <w:tcPr>
            <w:tcW w:type="dxa" w:w="1670"/>
            <w:shd w:val="clear" w:fill="F2F5F9"/>
          </w:tcPr>
          <w:p>
            <w:pPr>
              <w:spacing w:after="0" w:before="0"/>
              <w:jc w:val="center"/>
            </w:pPr>
            <w:r>
              <w:rPr>
                <w:rFonts w:ascii="Arial" w:hAnsi="Arial"/>
                <w:b w:val="0"/>
                <w:color w:val="202020"/>
                <w:sz w:val="16"/>
              </w:rPr>
              <w:t>$0.948</w:t>
            </w:r>
          </w:p>
        </w:tc>
        <w:tc>
          <w:tcPr>
            <w:tcW w:type="dxa" w:w="5227"/>
            <w:shd w:val="clear" w:fill="F2F5F9"/>
          </w:tcPr>
          <w:p>
            <w:pPr>
              <w:spacing w:after="0" w:before="0"/>
            </w:pPr>
            <w:r>
              <w:rPr>
                <w:rFonts w:ascii="Arial" w:hAnsi="Arial"/>
                <w:b w:val="0"/>
                <w:color w:val="202020"/>
                <w:sz w:val="16"/>
              </w:rPr>
              <w:t>Raw lifetime average from the statement</w:t>
            </w:r>
          </w:p>
        </w:tc>
      </w:tr>
      <w:tr>
        <w:tc>
          <w:tcPr>
            <w:tcW w:type="dxa" w:w="1526"/>
            <w:shd w:val="clear" w:fill="E4E9F0"/>
          </w:tcPr>
          <w:p>
            <w:pPr>
              <w:spacing w:after="0" w:before="0"/>
              <w:jc w:val="center"/>
            </w:pPr>
            <w:r>
              <w:rPr>
                <w:rFonts w:ascii="Arial" w:hAnsi="Arial"/>
                <w:b/>
                <w:color w:val="202020"/>
                <w:sz w:val="16"/>
              </w:rPr>
              <w:t>114,400</w:t>
            </w:r>
          </w:p>
        </w:tc>
        <w:tc>
          <w:tcPr>
            <w:tcW w:type="dxa" w:w="1325"/>
            <w:shd w:val="clear" w:fill="E4E9F0"/>
          </w:tcPr>
          <w:p>
            <w:pPr>
              <w:spacing w:after="0" w:before="0"/>
              <w:jc w:val="center"/>
            </w:pPr>
            <w:r>
              <w:rPr>
                <w:rFonts w:ascii="Arial" w:hAnsi="Arial"/>
                <w:b/>
                <w:color w:val="202020"/>
                <w:sz w:val="16"/>
              </w:rPr>
              <w:t>$0.1113</w:t>
            </w:r>
          </w:p>
        </w:tc>
        <w:tc>
          <w:tcPr>
            <w:tcW w:type="dxa" w:w="1670"/>
            <w:shd w:val="clear" w:fill="E4E9F0"/>
          </w:tcPr>
          <w:p>
            <w:pPr>
              <w:spacing w:after="0" w:before="0"/>
              <w:jc w:val="center"/>
            </w:pPr>
            <w:r>
              <w:rPr>
                <w:rFonts w:ascii="Arial" w:hAnsi="Arial"/>
                <w:b/>
                <w:color w:val="202020"/>
                <w:sz w:val="16"/>
              </w:rPr>
              <w:t>$0.934</w:t>
            </w:r>
          </w:p>
        </w:tc>
        <w:tc>
          <w:tcPr>
            <w:tcW w:type="dxa" w:w="5227"/>
            <w:shd w:val="clear" w:fill="E4E9F0"/>
          </w:tcPr>
          <w:p>
            <w:pPr>
              <w:spacing w:after="0" w:before="0"/>
            </w:pPr>
            <w:r>
              <w:rPr>
                <w:rFonts w:ascii="Arial" w:hAnsi="Arial"/>
                <w:b/>
                <w:color w:val="202020"/>
                <w:sz w:val="16"/>
              </w:rPr>
              <w:t>Model default: 44 working weeks at 2,600 miles</w:t>
            </w:r>
          </w:p>
        </w:tc>
      </w:tr>
      <w:tr>
        <w:tc>
          <w:tcPr>
            <w:tcW w:type="dxa" w:w="1526"/>
            <w:shd w:val="clear" w:fill="F2F5F9"/>
          </w:tcPr>
          <w:p>
            <w:pPr>
              <w:spacing w:after="0" w:before="0"/>
              <w:jc w:val="center"/>
            </w:pPr>
            <w:r>
              <w:rPr>
                <w:rFonts w:ascii="Arial" w:hAnsi="Arial"/>
                <w:b w:val="0"/>
                <w:color w:val="202020"/>
                <w:sz w:val="16"/>
              </w:rPr>
              <w:t>132,000</w:t>
            </w:r>
          </w:p>
        </w:tc>
        <w:tc>
          <w:tcPr>
            <w:tcW w:type="dxa" w:w="1325"/>
            <w:shd w:val="clear" w:fill="F2F5F9"/>
          </w:tcPr>
          <w:p>
            <w:pPr>
              <w:spacing w:after="0" w:before="0"/>
              <w:jc w:val="center"/>
            </w:pPr>
            <w:r>
              <w:rPr>
                <w:rFonts w:ascii="Arial" w:hAnsi="Arial"/>
                <w:b w:val="0"/>
                <w:color w:val="202020"/>
                <w:sz w:val="16"/>
              </w:rPr>
              <w:t>$0.0965</w:t>
            </w:r>
          </w:p>
        </w:tc>
        <w:tc>
          <w:tcPr>
            <w:tcW w:type="dxa" w:w="1670"/>
            <w:shd w:val="clear" w:fill="F2F5F9"/>
          </w:tcPr>
          <w:p>
            <w:pPr>
              <w:spacing w:after="0" w:before="0"/>
              <w:jc w:val="center"/>
            </w:pPr>
            <w:r>
              <w:rPr>
                <w:rFonts w:ascii="Arial" w:hAnsi="Arial"/>
                <w:b w:val="0"/>
                <w:color w:val="202020"/>
                <w:sz w:val="16"/>
              </w:rPr>
              <w:t>$0.919</w:t>
            </w:r>
          </w:p>
        </w:tc>
        <w:tc>
          <w:tcPr>
            <w:tcW w:type="dxa" w:w="5227"/>
            <w:shd w:val="clear" w:fill="F2F5F9"/>
          </w:tcPr>
          <w:p>
            <w:pPr>
              <w:spacing w:after="0" w:before="0"/>
            </w:pPr>
            <w:r>
              <w:rPr>
                <w:rFonts w:ascii="Arial" w:hAnsi="Arial"/>
                <w:b w:val="0"/>
                <w:color w:val="202020"/>
                <w:sz w:val="16"/>
              </w:rPr>
              <w:t>44 weeks at 3,000, the top of the reported range</w:t>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One caveat carries into this from the section below: the 237 weeks behind these reconstructions are the current tractor only, so the earlier years cannot confirm or contradict them.</w:t>
      </w:r>
    </w:p>
    <w:p>
      <w:pPr>
        <w:spacing w:before="0" w:after="120"/>
      </w:pPr>
      <w:r>
        <w:rPr>
          <w:rFonts w:ascii="Arial" w:hAnsi="Arial"/>
          <w:b w:val="0"/>
          <w:i w:val="0"/>
          <w:color w:val="202020"/>
          <w:sz w:val="19"/>
        </w:rPr>
        <w:t>The whole spread is $0.033 per mile, so this assumption is worth about a third of what the maintenance line is worth and the model is not fragile to it. The direction of the risk is worth stating plainly though: a higher annual figure lowers fixed cost per mile, which lowers the bar a load has to clear. Assume a year that does not happen and the truck under-recovers its fixed cost. The driver is exposed on the assumptions tab as working weeks times miles per working week, so it can be argued with rather than trusted.</w:t>
      </w:r>
    </w:p>
    <w:p>
      <w:pPr>
        <w:spacing w:before="300" w:after="100"/>
        <w:keepNext w:val="1"/>
      </w:pPr>
      <w:r>
        <w:rPr>
          <w:rFonts w:ascii="Arial" w:hAnsi="Arial"/>
          <w:b/>
          <w:color w:val="1F3864"/>
          <w:sz w:val="23"/>
        </w:rPr>
        <w:t>UNIT ECONOMICS: THE NUMBER THE LOAD MUST BEAT</w:t>
      </w:r>
    </w:p>
    <w:p>
      <w:pPr>
        <w:spacing w:before="0" w:after="160"/>
      </w:pPr>
      <w:r>
        <w:rPr>
          <w:rFonts w:ascii="Arial" w:hAnsi="Arial"/>
          <w:b w:val="0"/>
          <w:i w:val="0"/>
          <w:color w:val="202020"/>
          <w:sz w:val="19"/>
        </w:rPr>
        <w:t>Cost per mile splits into variable and fixed. Fixed converts to a per-mile figure through a derived 114,400 annual miles, so a low-utilization year correctly raises the floor. Both apply to total miles, loaded and empty, because deadhead consumes fuel, hours, and equipment life while earning nothing. Fuel is calculated per load from the weight class, which produces three break-even figures rather than one.</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2764"/>
        <w:gridCol w:w="950"/>
        <w:gridCol w:w="1036"/>
        <w:gridCol w:w="892"/>
        <w:gridCol w:w="4104"/>
      </w:tblGrid>
      <w:tr>
        <w:trPr>
          <w:tblHeader/>
        </w:trPr>
        <w:tc>
          <w:tcPr>
            <w:tcW w:type="dxa" w:w="2765"/>
            <w:shd w:val="clear" w:fill="1F3864"/>
          </w:tcPr>
          <w:p>
            <w:pPr>
              <w:spacing w:after="0" w:before="0"/>
            </w:pPr>
            <w:r>
              <w:rPr>
                <w:rFonts w:ascii="Arial" w:hAnsi="Arial"/>
                <w:b/>
                <w:color w:val="FFFFFF"/>
                <w:sz w:val="16"/>
              </w:rPr>
              <w:t>Component</w:t>
            </w:r>
          </w:p>
        </w:tc>
        <w:tc>
          <w:tcPr>
            <w:tcW w:type="dxa" w:w="950"/>
            <w:shd w:val="clear" w:fill="1F3864"/>
          </w:tcPr>
          <w:p>
            <w:pPr>
              <w:spacing w:after="0" w:before="0"/>
              <w:jc w:val="center"/>
            </w:pPr>
            <w:r>
              <w:rPr>
                <w:rFonts w:ascii="Arial" w:hAnsi="Arial"/>
                <w:b/>
                <w:color w:val="FFFFFF"/>
                <w:sz w:val="16"/>
              </w:rPr>
              <w:t>Heavy</w:t>
            </w:r>
          </w:p>
        </w:tc>
        <w:tc>
          <w:tcPr>
            <w:tcW w:type="dxa" w:w="1037"/>
            <w:shd w:val="clear" w:fill="1F3864"/>
          </w:tcPr>
          <w:p>
            <w:pPr>
              <w:spacing w:after="0" w:before="0"/>
              <w:jc w:val="center"/>
            </w:pPr>
            <w:r>
              <w:rPr>
                <w:rFonts w:ascii="Arial" w:hAnsi="Arial"/>
                <w:b/>
                <w:color w:val="FFFFFF"/>
                <w:sz w:val="16"/>
              </w:rPr>
              <w:t>Medium</w:t>
            </w:r>
          </w:p>
        </w:tc>
        <w:tc>
          <w:tcPr>
            <w:tcW w:type="dxa" w:w="893"/>
            <w:shd w:val="clear" w:fill="1F3864"/>
          </w:tcPr>
          <w:p>
            <w:pPr>
              <w:spacing w:after="0" w:before="0"/>
              <w:jc w:val="center"/>
            </w:pPr>
            <w:r>
              <w:rPr>
                <w:rFonts w:ascii="Arial" w:hAnsi="Arial"/>
                <w:b/>
                <w:color w:val="FFFFFF"/>
                <w:sz w:val="16"/>
              </w:rPr>
              <w:t>Light</w:t>
            </w:r>
          </w:p>
        </w:tc>
        <w:tc>
          <w:tcPr>
            <w:tcW w:type="dxa" w:w="4104"/>
            <w:shd w:val="clear" w:fill="1F3864"/>
          </w:tcPr>
          <w:p>
            <w:pPr>
              <w:spacing w:after="0" w:before="0"/>
            </w:pPr>
            <w:r>
              <w:rPr>
                <w:rFonts w:ascii="Arial" w:hAnsi="Arial"/>
                <w:b/>
                <w:color w:val="FFFFFF"/>
                <w:sz w:val="16"/>
              </w:rPr>
              <w:t>Source on the operating statement</w:t>
            </w:r>
          </w:p>
        </w:tc>
      </w:tr>
      <w:tr>
        <w:tc>
          <w:tcPr>
            <w:tcW w:type="dxa" w:w="2765"/>
          </w:tcPr>
          <w:p>
            <w:pPr>
              <w:spacing w:after="0" w:before="0"/>
            </w:pPr>
            <w:r>
              <w:rPr>
                <w:rFonts w:ascii="Arial" w:hAnsi="Arial"/>
                <w:b w:val="0"/>
                <w:color w:val="202020"/>
                <w:sz w:val="16"/>
              </w:rPr>
              <w:t>Variable — fuel, net of discount</w:t>
            </w:r>
          </w:p>
        </w:tc>
        <w:tc>
          <w:tcPr>
            <w:tcW w:type="dxa" w:w="950"/>
          </w:tcPr>
          <w:p>
            <w:pPr>
              <w:spacing w:after="0" w:before="0"/>
              <w:jc w:val="center"/>
            </w:pPr>
            <w:r>
              <w:rPr>
                <w:rFonts w:ascii="Arial" w:hAnsi="Arial"/>
                <w:b w:val="0"/>
                <w:color w:val="202020"/>
                <w:sz w:val="16"/>
              </w:rPr>
              <w:t>$0.582</w:t>
            </w:r>
          </w:p>
        </w:tc>
        <w:tc>
          <w:tcPr>
            <w:tcW w:type="dxa" w:w="1037"/>
          </w:tcPr>
          <w:p>
            <w:pPr>
              <w:spacing w:after="0" w:before="0"/>
              <w:jc w:val="center"/>
            </w:pPr>
            <w:r>
              <w:rPr>
                <w:rFonts w:ascii="Arial" w:hAnsi="Arial"/>
                <w:b w:val="0"/>
                <w:color w:val="202020"/>
                <w:sz w:val="16"/>
              </w:rPr>
              <w:t>$0.480</w:t>
            </w:r>
          </w:p>
        </w:tc>
        <w:tc>
          <w:tcPr>
            <w:tcW w:type="dxa" w:w="893"/>
          </w:tcPr>
          <w:p>
            <w:pPr>
              <w:spacing w:after="0" w:before="0"/>
              <w:jc w:val="center"/>
            </w:pPr>
            <w:r>
              <w:rPr>
                <w:rFonts w:ascii="Arial" w:hAnsi="Arial"/>
                <w:b w:val="0"/>
                <w:color w:val="202020"/>
                <w:sz w:val="16"/>
              </w:rPr>
              <w:t>$0.408</w:t>
            </w:r>
          </w:p>
        </w:tc>
        <w:tc>
          <w:tcPr>
            <w:tcW w:type="dxa" w:w="4104"/>
          </w:tcPr>
          <w:p>
            <w:pPr>
              <w:spacing w:after="0" w:before="0"/>
            </w:pPr>
            <w:r>
              <w:rPr>
                <w:rFonts w:ascii="Arial" w:hAnsi="Arial"/>
                <w:b w:val="0"/>
                <w:color w:val="202020"/>
                <w:sz w:val="16"/>
              </w:rPr>
              <w:t>$4.076/gal net at 7.0 / 8.5 / 10.0 mpg</w:t>
            </w:r>
          </w:p>
        </w:tc>
      </w:tr>
      <w:tr>
        <w:tc>
          <w:tcPr>
            <w:tcW w:type="dxa" w:w="2765"/>
            <w:shd w:val="clear" w:fill="F2F5F9"/>
          </w:tcPr>
          <w:p>
            <w:pPr>
              <w:spacing w:after="0" w:before="0"/>
            </w:pPr>
            <w:r>
              <w:rPr>
                <w:rFonts w:ascii="Arial" w:hAnsi="Arial"/>
                <w:b w:val="0"/>
                <w:color w:val="202020"/>
                <w:sz w:val="16"/>
              </w:rPr>
              <w:t>Variable — DEF, net of discount</w:t>
            </w:r>
          </w:p>
        </w:tc>
        <w:tc>
          <w:tcPr>
            <w:tcW w:type="dxa" w:w="950"/>
            <w:shd w:val="clear" w:fill="F2F5F9"/>
          </w:tcPr>
          <w:p>
            <w:pPr>
              <w:spacing w:after="0" w:before="0"/>
              <w:jc w:val="center"/>
            </w:pPr>
            <w:r>
              <w:rPr>
                <w:rFonts w:ascii="Arial" w:hAnsi="Arial"/>
                <w:b w:val="0"/>
                <w:color w:val="202020"/>
                <w:sz w:val="16"/>
              </w:rPr>
              <w:t>$0.023</w:t>
            </w:r>
          </w:p>
        </w:tc>
        <w:tc>
          <w:tcPr>
            <w:tcW w:type="dxa" w:w="1037"/>
            <w:shd w:val="clear" w:fill="F2F5F9"/>
          </w:tcPr>
          <w:p>
            <w:pPr>
              <w:spacing w:after="0" w:before="0"/>
              <w:jc w:val="center"/>
            </w:pPr>
            <w:r>
              <w:rPr>
                <w:rFonts w:ascii="Arial" w:hAnsi="Arial"/>
                <w:b w:val="0"/>
                <w:color w:val="202020"/>
                <w:sz w:val="16"/>
              </w:rPr>
              <w:t>$0.023</w:t>
            </w:r>
          </w:p>
        </w:tc>
        <w:tc>
          <w:tcPr>
            <w:tcW w:type="dxa" w:w="893"/>
            <w:shd w:val="clear" w:fill="F2F5F9"/>
          </w:tcPr>
          <w:p>
            <w:pPr>
              <w:spacing w:after="0" w:before="0"/>
              <w:jc w:val="center"/>
            </w:pPr>
            <w:r>
              <w:rPr>
                <w:rFonts w:ascii="Arial" w:hAnsi="Arial"/>
                <w:b w:val="0"/>
                <w:color w:val="202020"/>
                <w:sz w:val="16"/>
              </w:rPr>
              <w:t>$0.023</w:t>
            </w:r>
          </w:p>
        </w:tc>
        <w:tc>
          <w:tcPr>
            <w:tcW w:type="dxa" w:w="4104"/>
            <w:shd w:val="clear" w:fill="F2F5F9"/>
          </w:tcPr>
          <w:p>
            <w:pPr>
              <w:spacing w:after="0" w:before="0"/>
            </w:pPr>
            <w:r>
              <w:rPr>
                <w:rFonts w:ascii="Arial" w:hAnsi="Arial"/>
                <w:b w:val="0"/>
                <w:color w:val="202020"/>
                <w:sz w:val="16"/>
              </w:rPr>
              <w:t>TRACTOR DEF less DEF DISCOUNT, YTD</w:t>
            </w:r>
          </w:p>
        </w:tc>
      </w:tr>
      <w:tr>
        <w:tc>
          <w:tcPr>
            <w:tcW w:type="dxa" w:w="2765"/>
          </w:tcPr>
          <w:p>
            <w:pPr>
              <w:spacing w:after="0" w:before="0"/>
            </w:pPr>
            <w:r>
              <w:rPr>
                <w:rFonts w:ascii="Arial" w:hAnsi="Arial"/>
                <w:b w:val="0"/>
                <w:color w:val="202020"/>
                <w:sz w:val="16"/>
              </w:rPr>
              <w:t>Variable — state fuel tax</w:t>
            </w:r>
          </w:p>
        </w:tc>
        <w:tc>
          <w:tcPr>
            <w:tcW w:type="dxa" w:w="950"/>
          </w:tcPr>
          <w:p>
            <w:pPr>
              <w:spacing w:after="0" w:before="0"/>
              <w:jc w:val="center"/>
            </w:pPr>
            <w:r>
              <w:rPr>
                <w:rFonts w:ascii="Arial" w:hAnsi="Arial"/>
                <w:b w:val="0"/>
                <w:color w:val="202020"/>
                <w:sz w:val="16"/>
              </w:rPr>
              <w:t>$0.007</w:t>
            </w:r>
          </w:p>
        </w:tc>
        <w:tc>
          <w:tcPr>
            <w:tcW w:type="dxa" w:w="1037"/>
          </w:tcPr>
          <w:p>
            <w:pPr>
              <w:spacing w:after="0" w:before="0"/>
              <w:jc w:val="center"/>
            </w:pPr>
            <w:r>
              <w:rPr>
                <w:rFonts w:ascii="Arial" w:hAnsi="Arial"/>
                <w:b w:val="0"/>
                <w:color w:val="202020"/>
                <w:sz w:val="16"/>
              </w:rPr>
              <w:t>$0.007</w:t>
            </w:r>
          </w:p>
        </w:tc>
        <w:tc>
          <w:tcPr>
            <w:tcW w:type="dxa" w:w="893"/>
          </w:tcPr>
          <w:p>
            <w:pPr>
              <w:spacing w:after="0" w:before="0"/>
              <w:jc w:val="center"/>
            </w:pPr>
            <w:r>
              <w:rPr>
                <w:rFonts w:ascii="Arial" w:hAnsi="Arial"/>
                <w:b w:val="0"/>
                <w:color w:val="202020"/>
                <w:sz w:val="16"/>
              </w:rPr>
              <w:t>$0.007</w:t>
            </w:r>
          </w:p>
        </w:tc>
        <w:tc>
          <w:tcPr>
            <w:tcW w:type="dxa" w:w="4104"/>
          </w:tcPr>
          <w:p>
            <w:pPr>
              <w:spacing w:after="0" w:before="0"/>
            </w:pPr>
            <w:r>
              <w:rPr>
                <w:rFonts w:ascii="Arial" w:hAnsi="Arial"/>
                <w:b w:val="0"/>
                <w:color w:val="202020"/>
                <w:sz w:val="16"/>
              </w:rPr>
              <w:t>STATE FUEL TAX, YTD</w:t>
            </w:r>
          </w:p>
        </w:tc>
      </w:tr>
      <w:tr>
        <w:tc>
          <w:tcPr>
            <w:tcW w:type="dxa" w:w="2765"/>
            <w:shd w:val="clear" w:fill="F2F5F9"/>
          </w:tcPr>
          <w:p>
            <w:pPr>
              <w:spacing w:after="0" w:before="0"/>
            </w:pPr>
            <w:r>
              <w:rPr>
                <w:rFonts w:ascii="Arial" w:hAnsi="Arial"/>
                <w:b w:val="0"/>
                <w:color w:val="202020"/>
                <w:sz w:val="16"/>
              </w:rPr>
              <w:t>Variable — maintenance &amp; repair</w:t>
            </w:r>
          </w:p>
        </w:tc>
        <w:tc>
          <w:tcPr>
            <w:tcW w:type="dxa" w:w="950"/>
            <w:shd w:val="clear" w:fill="F2F5F9"/>
          </w:tcPr>
          <w:p>
            <w:pPr>
              <w:spacing w:after="0" w:before="0"/>
              <w:jc w:val="center"/>
            </w:pPr>
            <w:r>
              <w:rPr>
                <w:rFonts w:ascii="Arial" w:hAnsi="Arial"/>
                <w:b w:val="0"/>
                <w:color w:val="202020"/>
                <w:sz w:val="16"/>
              </w:rPr>
              <w:t>$0.120</w:t>
            </w:r>
          </w:p>
        </w:tc>
        <w:tc>
          <w:tcPr>
            <w:tcW w:type="dxa" w:w="1037"/>
            <w:shd w:val="clear" w:fill="F2F5F9"/>
          </w:tcPr>
          <w:p>
            <w:pPr>
              <w:spacing w:after="0" w:before="0"/>
              <w:jc w:val="center"/>
            </w:pPr>
            <w:r>
              <w:rPr>
                <w:rFonts w:ascii="Arial" w:hAnsi="Arial"/>
                <w:b w:val="0"/>
                <w:color w:val="202020"/>
                <w:sz w:val="16"/>
              </w:rPr>
              <w:t>$0.120</w:t>
            </w:r>
          </w:p>
        </w:tc>
        <w:tc>
          <w:tcPr>
            <w:tcW w:type="dxa" w:w="893"/>
            <w:shd w:val="clear" w:fill="F2F5F9"/>
          </w:tcPr>
          <w:p>
            <w:pPr>
              <w:spacing w:after="0" w:before="0"/>
              <w:jc w:val="center"/>
            </w:pPr>
            <w:r>
              <w:rPr>
                <w:rFonts w:ascii="Arial" w:hAnsi="Arial"/>
                <w:b w:val="0"/>
                <w:color w:val="202020"/>
                <w:sz w:val="16"/>
              </w:rPr>
              <w:t>$0.120</w:t>
            </w:r>
          </w:p>
        </w:tc>
        <w:tc>
          <w:tcPr>
            <w:tcW w:type="dxa" w:w="4104"/>
            <w:shd w:val="clear" w:fill="F2F5F9"/>
          </w:tcPr>
          <w:p>
            <w:pPr>
              <w:spacing w:after="0" w:before="0"/>
            </w:pPr>
            <w:r>
              <w:rPr>
                <w:rFonts w:ascii="Arial" w:hAnsi="Arial"/>
                <w:b w:val="0"/>
                <w:color w:val="202020"/>
                <w:sz w:val="16"/>
              </w:rPr>
              <w:t>Actual $0.065; set higher by choice, see below</w:t>
            </w:r>
          </w:p>
        </w:tc>
      </w:tr>
      <w:tr>
        <w:tc>
          <w:tcPr>
            <w:tcW w:type="dxa" w:w="2765"/>
          </w:tcPr>
          <w:p>
            <w:pPr>
              <w:spacing w:after="0" w:before="0"/>
            </w:pPr>
            <w:r>
              <w:rPr>
                <w:rFonts w:ascii="Arial" w:hAnsi="Arial"/>
                <w:b w:val="0"/>
                <w:color w:val="202020"/>
                <w:sz w:val="16"/>
              </w:rPr>
              <w:t>Variable — tires (reserve)</w:t>
            </w:r>
          </w:p>
        </w:tc>
        <w:tc>
          <w:tcPr>
            <w:tcW w:type="dxa" w:w="950"/>
          </w:tcPr>
          <w:p>
            <w:pPr>
              <w:spacing w:after="0" w:before="0"/>
              <w:jc w:val="center"/>
            </w:pPr>
            <w:r>
              <w:rPr>
                <w:rFonts w:ascii="Arial" w:hAnsi="Arial"/>
                <w:b w:val="0"/>
                <w:color w:val="202020"/>
                <w:sz w:val="16"/>
              </w:rPr>
              <w:t>$0.045</w:t>
            </w:r>
          </w:p>
        </w:tc>
        <w:tc>
          <w:tcPr>
            <w:tcW w:type="dxa" w:w="1037"/>
          </w:tcPr>
          <w:p>
            <w:pPr>
              <w:spacing w:after="0" w:before="0"/>
              <w:jc w:val="center"/>
            </w:pPr>
            <w:r>
              <w:rPr>
                <w:rFonts w:ascii="Arial" w:hAnsi="Arial"/>
                <w:b w:val="0"/>
                <w:color w:val="202020"/>
                <w:sz w:val="16"/>
              </w:rPr>
              <w:t>$0.045</w:t>
            </w:r>
          </w:p>
        </w:tc>
        <w:tc>
          <w:tcPr>
            <w:tcW w:type="dxa" w:w="893"/>
          </w:tcPr>
          <w:p>
            <w:pPr>
              <w:spacing w:after="0" w:before="0"/>
              <w:jc w:val="center"/>
            </w:pPr>
            <w:r>
              <w:rPr>
                <w:rFonts w:ascii="Arial" w:hAnsi="Arial"/>
                <w:b w:val="0"/>
                <w:color w:val="202020"/>
                <w:sz w:val="16"/>
              </w:rPr>
              <w:t>$0.045</w:t>
            </w:r>
          </w:p>
        </w:tc>
        <w:tc>
          <w:tcPr>
            <w:tcW w:type="dxa" w:w="4104"/>
          </w:tcPr>
          <w:p>
            <w:pPr>
              <w:spacing w:after="0" w:before="0"/>
            </w:pPr>
            <w:r>
              <w:rPr>
                <w:rFonts w:ascii="Arial" w:hAnsi="Arial"/>
                <w:b w:val="0"/>
                <w:color w:val="202020"/>
                <w:sz w:val="16"/>
              </w:rPr>
              <w:t>NOT a statement line — see below</w:t>
            </w:r>
          </w:p>
        </w:tc>
      </w:tr>
      <w:tr>
        <w:tc>
          <w:tcPr>
            <w:tcW w:type="dxa" w:w="2765"/>
            <w:shd w:val="clear" w:fill="F2F5F9"/>
          </w:tcPr>
          <w:p>
            <w:pPr>
              <w:spacing w:after="0" w:before="0"/>
            </w:pPr>
            <w:r>
              <w:rPr>
                <w:rFonts w:ascii="Arial" w:hAnsi="Arial"/>
                <w:b w:val="0"/>
                <w:color w:val="202020"/>
                <w:sz w:val="16"/>
              </w:rPr>
              <w:t>Variable — tolls, Qualcomm, misc</w:t>
            </w:r>
          </w:p>
        </w:tc>
        <w:tc>
          <w:tcPr>
            <w:tcW w:type="dxa" w:w="950"/>
            <w:shd w:val="clear" w:fill="F2F5F9"/>
          </w:tcPr>
          <w:p>
            <w:pPr>
              <w:spacing w:after="0" w:before="0"/>
              <w:jc w:val="center"/>
            </w:pPr>
            <w:r>
              <w:rPr>
                <w:rFonts w:ascii="Arial" w:hAnsi="Arial"/>
                <w:b w:val="0"/>
                <w:color w:val="202020"/>
                <w:sz w:val="16"/>
              </w:rPr>
              <w:t>$0.045</w:t>
            </w:r>
          </w:p>
        </w:tc>
        <w:tc>
          <w:tcPr>
            <w:tcW w:type="dxa" w:w="1037"/>
            <w:shd w:val="clear" w:fill="F2F5F9"/>
          </w:tcPr>
          <w:p>
            <w:pPr>
              <w:spacing w:after="0" w:before="0"/>
              <w:jc w:val="center"/>
            </w:pPr>
            <w:r>
              <w:rPr>
                <w:rFonts w:ascii="Arial" w:hAnsi="Arial"/>
                <w:b w:val="0"/>
                <w:color w:val="202020"/>
                <w:sz w:val="16"/>
              </w:rPr>
              <w:t>$0.045</w:t>
            </w:r>
          </w:p>
        </w:tc>
        <w:tc>
          <w:tcPr>
            <w:tcW w:type="dxa" w:w="893"/>
            <w:shd w:val="clear" w:fill="F2F5F9"/>
          </w:tcPr>
          <w:p>
            <w:pPr>
              <w:spacing w:after="0" w:before="0"/>
              <w:jc w:val="center"/>
            </w:pPr>
            <w:r>
              <w:rPr>
                <w:rFonts w:ascii="Arial" w:hAnsi="Arial"/>
                <w:b w:val="0"/>
                <w:color w:val="202020"/>
                <w:sz w:val="16"/>
              </w:rPr>
              <w:t>$0.045</w:t>
            </w:r>
          </w:p>
        </w:tc>
        <w:tc>
          <w:tcPr>
            <w:tcW w:type="dxa" w:w="4104"/>
            <w:shd w:val="clear" w:fill="F2F5F9"/>
          </w:tcPr>
          <w:p>
            <w:pPr>
              <w:spacing w:after="0" w:before="0"/>
            </w:pPr>
            <w:r>
              <w:rPr>
                <w:rFonts w:ascii="Arial" w:hAnsi="Arial"/>
                <w:b w:val="0"/>
                <w:color w:val="202020"/>
                <w:sz w:val="16"/>
              </w:rPr>
              <w:t>MISCELLANEOUS less advances and fund transfers</w:t>
            </w:r>
          </w:p>
        </w:tc>
      </w:tr>
      <w:tr>
        <w:tc>
          <w:tcPr>
            <w:tcW w:type="dxa" w:w="2765"/>
          </w:tcPr>
          <w:p>
            <w:pPr>
              <w:spacing w:after="0" w:before="0"/>
            </w:pPr>
            <w:r>
              <w:rPr>
                <w:rFonts w:ascii="Arial" w:hAnsi="Arial"/>
                <w:b w:val="0"/>
                <w:color w:val="202020"/>
                <w:sz w:val="16"/>
              </w:rPr>
              <w:t>Fixed — truck payment</w:t>
            </w:r>
          </w:p>
        </w:tc>
        <w:tc>
          <w:tcPr>
            <w:tcW w:type="dxa" w:w="950"/>
          </w:tcPr>
          <w:p>
            <w:pPr>
              <w:spacing w:after="0" w:before="0"/>
              <w:jc w:val="center"/>
            </w:pPr>
            <w:r>
              <w:rPr>
                <w:rFonts w:ascii="Arial" w:hAnsi="Arial"/>
                <w:b w:val="0"/>
                <w:color w:val="202020"/>
                <w:sz w:val="16"/>
              </w:rPr>
              <w:t>$0.000</w:t>
            </w:r>
          </w:p>
        </w:tc>
        <w:tc>
          <w:tcPr>
            <w:tcW w:type="dxa" w:w="1037"/>
          </w:tcPr>
          <w:p>
            <w:pPr>
              <w:spacing w:after="0" w:before="0"/>
              <w:jc w:val="center"/>
            </w:pPr>
            <w:r>
              <w:rPr>
                <w:rFonts w:ascii="Arial" w:hAnsi="Arial"/>
                <w:b w:val="0"/>
                <w:color w:val="202020"/>
                <w:sz w:val="16"/>
              </w:rPr>
              <w:t>$0.000</w:t>
            </w:r>
          </w:p>
        </w:tc>
        <w:tc>
          <w:tcPr>
            <w:tcW w:type="dxa" w:w="893"/>
          </w:tcPr>
          <w:p>
            <w:pPr>
              <w:spacing w:after="0" w:before="0"/>
              <w:jc w:val="center"/>
            </w:pPr>
            <w:r>
              <w:rPr>
                <w:rFonts w:ascii="Arial" w:hAnsi="Arial"/>
                <w:b w:val="0"/>
                <w:color w:val="202020"/>
                <w:sz w:val="16"/>
              </w:rPr>
              <w:t>$0.000</w:t>
            </w:r>
          </w:p>
        </w:tc>
        <w:tc>
          <w:tcPr>
            <w:tcW w:type="dxa" w:w="4104"/>
          </w:tcPr>
          <w:p>
            <w:pPr>
              <w:spacing w:after="0" w:before="0"/>
            </w:pPr>
            <w:r>
              <w:rPr>
                <w:rFonts w:ascii="Arial" w:hAnsi="Arial"/>
                <w:b w:val="0"/>
                <w:color w:val="202020"/>
                <w:sz w:val="16"/>
              </w:rPr>
              <w:t>Lease completed January 2025. RENT PAYMENT $0.</w:t>
            </w:r>
          </w:p>
        </w:tc>
      </w:tr>
      <w:tr>
        <w:tc>
          <w:tcPr>
            <w:tcW w:type="dxa" w:w="2765"/>
            <w:shd w:val="clear" w:fill="F2F5F9"/>
          </w:tcPr>
          <w:p>
            <w:pPr>
              <w:spacing w:after="0" w:before="0"/>
            </w:pPr>
            <w:r>
              <w:rPr>
                <w:rFonts w:ascii="Arial" w:hAnsi="Arial"/>
                <w:b w:val="0"/>
                <w:color w:val="202020"/>
                <w:sz w:val="16"/>
              </w:rPr>
              <w:t>Fixed — insurance, permits, taxes</w:t>
            </w:r>
          </w:p>
        </w:tc>
        <w:tc>
          <w:tcPr>
            <w:tcW w:type="dxa" w:w="950"/>
            <w:shd w:val="clear" w:fill="F2F5F9"/>
          </w:tcPr>
          <w:p>
            <w:pPr>
              <w:spacing w:after="0" w:before="0"/>
              <w:jc w:val="center"/>
            </w:pPr>
            <w:r>
              <w:rPr>
                <w:rFonts w:ascii="Arial" w:hAnsi="Arial"/>
                <w:b w:val="0"/>
                <w:color w:val="202020"/>
                <w:sz w:val="16"/>
              </w:rPr>
              <w:t>$0.111</w:t>
            </w:r>
          </w:p>
        </w:tc>
        <w:tc>
          <w:tcPr>
            <w:tcW w:type="dxa" w:w="1037"/>
            <w:shd w:val="clear" w:fill="F2F5F9"/>
          </w:tcPr>
          <w:p>
            <w:pPr>
              <w:spacing w:after="0" w:before="0"/>
              <w:jc w:val="center"/>
            </w:pPr>
            <w:r>
              <w:rPr>
                <w:rFonts w:ascii="Arial" w:hAnsi="Arial"/>
                <w:b w:val="0"/>
                <w:color w:val="202020"/>
                <w:sz w:val="16"/>
              </w:rPr>
              <w:t>$0.111</w:t>
            </w:r>
          </w:p>
        </w:tc>
        <w:tc>
          <w:tcPr>
            <w:tcW w:type="dxa" w:w="893"/>
            <w:shd w:val="clear" w:fill="F2F5F9"/>
          </w:tcPr>
          <w:p>
            <w:pPr>
              <w:spacing w:after="0" w:before="0"/>
              <w:jc w:val="center"/>
            </w:pPr>
            <w:r>
              <w:rPr>
                <w:rFonts w:ascii="Arial" w:hAnsi="Arial"/>
                <w:b w:val="0"/>
                <w:color w:val="202020"/>
                <w:sz w:val="16"/>
              </w:rPr>
              <w:t>$0.111</w:t>
            </w:r>
          </w:p>
        </w:tc>
        <w:tc>
          <w:tcPr>
            <w:tcW w:type="dxa" w:w="4104"/>
            <w:shd w:val="clear" w:fill="F2F5F9"/>
          </w:tcPr>
          <w:p>
            <w:pPr>
              <w:spacing w:after="0" w:before="0"/>
            </w:pPr>
            <w:r>
              <w:rPr>
                <w:rFonts w:ascii="Arial" w:hAnsi="Arial"/>
                <w:b w:val="0"/>
                <w:color w:val="202020"/>
                <w:sz w:val="16"/>
              </w:rPr>
              <w:t>Seven statement lines over 114,400 annual miles</w:t>
            </w:r>
          </w:p>
        </w:tc>
      </w:tr>
      <w:tr>
        <w:tc>
          <w:tcPr>
            <w:tcW w:type="dxa" w:w="2765"/>
            <w:shd w:val="clear" w:fill="E4E9F0"/>
          </w:tcPr>
          <w:p>
            <w:pPr>
              <w:spacing w:after="0" w:before="0"/>
            </w:pPr>
            <w:r>
              <w:rPr>
                <w:rFonts w:ascii="Arial" w:hAnsi="Arial"/>
                <w:b/>
                <w:color w:val="202020"/>
                <w:sz w:val="16"/>
              </w:rPr>
              <w:t>ALL-IN COST PER MILE</w:t>
            </w:r>
          </w:p>
        </w:tc>
        <w:tc>
          <w:tcPr>
            <w:tcW w:type="dxa" w:w="950"/>
            <w:shd w:val="clear" w:fill="E4E9F0"/>
          </w:tcPr>
          <w:p>
            <w:pPr>
              <w:spacing w:after="0" w:before="0"/>
              <w:jc w:val="center"/>
            </w:pPr>
            <w:r>
              <w:rPr>
                <w:rFonts w:ascii="Arial" w:hAnsi="Arial"/>
                <w:b/>
                <w:color w:val="202020"/>
                <w:sz w:val="16"/>
              </w:rPr>
              <w:t>$0.934</w:t>
            </w:r>
          </w:p>
        </w:tc>
        <w:tc>
          <w:tcPr>
            <w:tcW w:type="dxa" w:w="1037"/>
            <w:shd w:val="clear" w:fill="E4E9F0"/>
          </w:tcPr>
          <w:p>
            <w:pPr>
              <w:spacing w:after="0" w:before="0"/>
              <w:jc w:val="center"/>
            </w:pPr>
            <w:r>
              <w:rPr>
                <w:rFonts w:ascii="Arial" w:hAnsi="Arial"/>
                <w:b/>
                <w:color w:val="202020"/>
                <w:sz w:val="16"/>
              </w:rPr>
              <w:t>$0.831</w:t>
            </w:r>
          </w:p>
        </w:tc>
        <w:tc>
          <w:tcPr>
            <w:tcW w:type="dxa" w:w="893"/>
            <w:shd w:val="clear" w:fill="E4E9F0"/>
          </w:tcPr>
          <w:p>
            <w:pPr>
              <w:spacing w:after="0" w:before="0"/>
              <w:jc w:val="center"/>
            </w:pPr>
            <w:r>
              <w:rPr>
                <w:rFonts w:ascii="Arial" w:hAnsi="Arial"/>
                <w:b/>
                <w:color w:val="202020"/>
                <w:sz w:val="16"/>
              </w:rPr>
              <w:t>$0.759</w:t>
            </w:r>
          </w:p>
        </w:tc>
        <w:tc>
          <w:tcPr>
            <w:tcW w:type="dxa" w:w="4104"/>
            <w:shd w:val="clear" w:fill="E4E9F0"/>
          </w:tcPr>
          <w:p>
            <w:pPr>
              <w:spacing w:after="0" w:before="0"/>
            </w:pPr>
            <w:r>
              <w:rPr>
                <w:rFonts w:ascii="Arial" w:hAnsi="Arial"/>
                <w:b/>
                <w:color w:val="202020"/>
                <w:sz w:val="16"/>
              </w:rPr>
              <w:t>See the reconciliation immediately below</w:t>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Maintenance is the one line I did not take at face value. Year to date reads $0.065 and lifetime reads $0.070. Those agreeing is weaker evidence than it first looks, because both come from the same tractor over the same period — they confirm each other rather than the underlying rate.</w:t>
      </w:r>
    </w:p>
    <w:p>
      <w:pPr>
        <w:spacing w:before="0" w:after="120"/>
      </w:pPr>
      <w:r>
        <w:rPr>
          <w:rFonts w:ascii="Arial" w:hAnsi="Arial"/>
          <w:b w:val="0"/>
          <w:i w:val="0"/>
          <w:color w:val="202020"/>
          <w:sz w:val="19"/>
        </w:rPr>
        <w:t>Two things push the real number higher. The truck has 460,589 miles and the lease finished in January 2025, so the warranty window that produced those years is behind it. And I ran this tractor gently the whole time I was buying it, which the one before it did not get. A maintenance figure drawn only from the careful years is a floor, not an average. One turbo erases three years of $0.065, so the model runs at $0.120 as a deliberate over-reserve. That is a judgement call rather than a measurement, and it is flagged in the workbook rather than buried in a cell.</w:t>
      </w:r>
    </w:p>
    <w:p>
      <w:pPr>
        <w:spacing w:before="0" w:after="160"/>
      </w:pPr>
      <w:r>
        <w:rPr>
          <w:rFonts w:ascii="Arial" w:hAnsi="Arial"/>
          <w:b w:val="0"/>
          <w:i w:val="0"/>
          <w:color w:val="202020"/>
          <w:sz w:val="19"/>
        </w:rPr>
        <w:t>Break-even moved from $1.342 in version 1 to $0.934 here. That is often reported as though removing the truck payment did all of it. It did not, and the bridge matters:</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8308" w:type="dxa"/>
      </w:tblPr>
      <w:tblGrid>
        <w:gridCol w:w="4780"/>
        <w:gridCol w:w="2044"/>
        <w:gridCol w:w="1483"/>
      </w:tblGrid>
      <w:tr>
        <w:trPr>
          <w:tblHeader/>
        </w:trPr>
        <w:tc>
          <w:tcPr>
            <w:tcW w:type="dxa" w:w="4781"/>
            <w:shd w:val="clear" w:fill="1F3864"/>
          </w:tcPr>
          <w:p>
            <w:pPr>
              <w:spacing w:after="0" w:before="0"/>
            </w:pPr>
            <w:r>
              <w:rPr>
                <w:rFonts w:ascii="Arial" w:hAnsi="Arial"/>
                <w:b/>
                <w:color w:val="FFFFFF"/>
                <w:sz w:val="16"/>
              </w:rPr>
              <w:t>Change</w:t>
            </w:r>
          </w:p>
        </w:tc>
        <w:tc>
          <w:tcPr>
            <w:tcW w:type="dxa" w:w="2045"/>
            <w:shd w:val="clear" w:fill="1F3864"/>
          </w:tcPr>
          <w:p>
            <w:pPr>
              <w:spacing w:after="0" w:before="0"/>
              <w:jc w:val="center"/>
            </w:pPr>
            <w:r>
              <w:rPr>
                <w:rFonts w:ascii="Arial" w:hAnsi="Arial"/>
                <w:b/>
                <w:color w:val="FFFFFF"/>
                <w:sz w:val="16"/>
              </w:rPr>
              <w:t>Effect on break-even</w:t>
            </w:r>
          </w:p>
        </w:tc>
        <w:tc>
          <w:tcPr>
            <w:tcW w:type="dxa" w:w="1483"/>
            <w:shd w:val="clear" w:fill="1F3864"/>
          </w:tcPr>
          <w:p>
            <w:pPr>
              <w:spacing w:after="0" w:before="0"/>
              <w:jc w:val="center"/>
            </w:pPr>
            <w:r>
              <w:rPr>
                <w:rFonts w:ascii="Arial" w:hAnsi="Arial"/>
                <w:b/>
                <w:color w:val="FFFFFF"/>
                <w:sz w:val="16"/>
              </w:rPr>
              <w:t>Running total</w:t>
            </w:r>
          </w:p>
        </w:tc>
      </w:tr>
      <w:tr>
        <w:tc>
          <w:tcPr>
            <w:tcW w:type="dxa" w:w="4781"/>
          </w:tcPr>
          <w:p>
            <w:pPr>
              <w:spacing w:after="0" w:before="0"/>
            </w:pPr>
            <w:r>
              <w:rPr>
                <w:rFonts w:ascii="Arial" w:hAnsi="Arial"/>
                <w:b w:val="0"/>
                <w:color w:val="202020"/>
                <w:sz w:val="16"/>
              </w:rPr>
              <w:t>Version 1 all-in cost per mile</w:t>
            </w:r>
          </w:p>
        </w:tc>
        <w:tc>
          <w:tcPr>
            <w:tcW w:type="dxa" w:w="2045"/>
          </w:tcPr>
          <w:p>
            <w:pPr>
              <w:spacing w:after="0" w:before="0"/>
              <w:jc w:val="center"/>
            </w:pPr>
            <w:r>
              <w:rPr>
                <w:rFonts w:ascii="Arial" w:hAnsi="Arial"/>
                <w:b w:val="0"/>
                <w:color w:val="202020"/>
                <w:sz w:val="16"/>
              </w:rPr>
              <w:t>—</w:t>
            </w:r>
          </w:p>
        </w:tc>
        <w:tc>
          <w:tcPr>
            <w:tcW w:type="dxa" w:w="1483"/>
          </w:tcPr>
          <w:p>
            <w:pPr>
              <w:spacing w:after="0" w:before="0"/>
              <w:jc w:val="center"/>
            </w:pPr>
            <w:r>
              <w:rPr>
                <w:rFonts w:ascii="Arial" w:hAnsi="Arial"/>
                <w:b w:val="0"/>
                <w:color w:val="202020"/>
                <w:sz w:val="16"/>
              </w:rPr>
              <w:t>$1.342</w:t>
            </w:r>
          </w:p>
        </w:tc>
      </w:tr>
      <w:tr>
        <w:tc>
          <w:tcPr>
            <w:tcW w:type="dxa" w:w="4781"/>
            <w:shd w:val="clear" w:fill="F2F5F9"/>
          </w:tcPr>
          <w:p>
            <w:pPr>
              <w:spacing w:after="0" w:before="0"/>
            </w:pPr>
            <w:r>
              <w:rPr>
                <w:rFonts w:ascii="Arial" w:hAnsi="Arial"/>
                <w:b w:val="0"/>
                <w:color w:val="202020"/>
                <w:sz w:val="16"/>
              </w:rPr>
              <w:t>Truck payment removed (owned outright)</w:t>
            </w:r>
          </w:p>
        </w:tc>
        <w:tc>
          <w:tcPr>
            <w:tcW w:type="dxa" w:w="2045"/>
            <w:shd w:val="clear" w:fill="F2F5F9"/>
          </w:tcPr>
          <w:p>
            <w:pPr>
              <w:spacing w:after="0" w:before="0"/>
              <w:jc w:val="center"/>
            </w:pPr>
            <w:r>
              <w:rPr>
                <w:rFonts w:ascii="Arial" w:hAnsi="Arial"/>
                <w:b w:val="0"/>
                <w:color w:val="202020"/>
                <w:sz w:val="16"/>
              </w:rPr>
              <w:t>−$0.280</w:t>
            </w:r>
          </w:p>
        </w:tc>
        <w:tc>
          <w:tcPr>
            <w:tcW w:type="dxa" w:w="1483"/>
            <w:shd w:val="clear" w:fill="F2F5F9"/>
          </w:tcPr>
          <w:p>
            <w:pPr>
              <w:spacing w:after="0" w:before="0"/>
              <w:jc w:val="center"/>
            </w:pPr>
            <w:r>
              <w:rPr>
                <w:rFonts w:ascii="Arial" w:hAnsi="Arial"/>
                <w:b w:val="0"/>
                <w:color w:val="202020"/>
                <w:sz w:val="16"/>
              </w:rPr>
              <w:t>$1.062</w:t>
            </w:r>
          </w:p>
        </w:tc>
      </w:tr>
      <w:tr>
        <w:tc>
          <w:tcPr>
            <w:tcW w:type="dxa" w:w="4781"/>
          </w:tcPr>
          <w:p>
            <w:pPr>
              <w:spacing w:after="0" w:before="0"/>
            </w:pPr>
            <w:r>
              <w:rPr>
                <w:rFonts w:ascii="Arial" w:hAnsi="Arial"/>
                <w:b w:val="0"/>
                <w:color w:val="202020"/>
                <w:sz w:val="16"/>
              </w:rPr>
              <w:t>Fuel re-priced to actual, net of discount</w:t>
            </w:r>
          </w:p>
        </w:tc>
        <w:tc>
          <w:tcPr>
            <w:tcW w:type="dxa" w:w="2045"/>
          </w:tcPr>
          <w:p>
            <w:pPr>
              <w:spacing w:after="0" w:before="0"/>
              <w:jc w:val="center"/>
            </w:pPr>
            <w:r>
              <w:rPr>
                <w:rFonts w:ascii="Arial" w:hAnsi="Arial"/>
                <w:b w:val="0"/>
                <w:color w:val="202020"/>
                <w:sz w:val="16"/>
              </w:rPr>
              <w:t>−$0.010</w:t>
            </w:r>
          </w:p>
        </w:tc>
        <w:tc>
          <w:tcPr>
            <w:tcW w:type="dxa" w:w="1483"/>
          </w:tcPr>
          <w:p>
            <w:pPr>
              <w:spacing w:after="0" w:before="0"/>
              <w:jc w:val="center"/>
            </w:pPr>
            <w:r>
              <w:rPr>
                <w:rFonts w:ascii="Arial" w:hAnsi="Arial"/>
                <w:b w:val="0"/>
                <w:color w:val="202020"/>
                <w:sz w:val="16"/>
              </w:rPr>
              <w:t>$1.052</w:t>
            </w:r>
          </w:p>
        </w:tc>
      </w:tr>
      <w:tr>
        <w:tc>
          <w:tcPr>
            <w:tcW w:type="dxa" w:w="4781"/>
            <w:shd w:val="clear" w:fill="F2F5F9"/>
          </w:tcPr>
          <w:p>
            <w:pPr>
              <w:spacing w:after="0" w:before="0"/>
            </w:pPr>
            <w:r>
              <w:rPr>
                <w:rFonts w:ascii="Arial" w:hAnsi="Arial"/>
                <w:b w:val="0"/>
                <w:color w:val="202020"/>
                <w:sz w:val="16"/>
              </w:rPr>
              <w:t>Maintenance reserve cut from $0.180 to $0.120</w:t>
            </w:r>
          </w:p>
        </w:tc>
        <w:tc>
          <w:tcPr>
            <w:tcW w:type="dxa" w:w="2045"/>
            <w:shd w:val="clear" w:fill="F2F5F9"/>
          </w:tcPr>
          <w:p>
            <w:pPr>
              <w:spacing w:after="0" w:before="0"/>
              <w:jc w:val="center"/>
            </w:pPr>
            <w:r>
              <w:rPr>
                <w:rFonts w:ascii="Arial" w:hAnsi="Arial"/>
                <w:b w:val="0"/>
                <w:color w:val="202020"/>
                <w:sz w:val="16"/>
              </w:rPr>
              <w:t>−$0.060</w:t>
            </w:r>
          </w:p>
        </w:tc>
        <w:tc>
          <w:tcPr>
            <w:tcW w:type="dxa" w:w="1483"/>
            <w:shd w:val="clear" w:fill="F2F5F9"/>
          </w:tcPr>
          <w:p>
            <w:pPr>
              <w:spacing w:after="0" w:before="0"/>
              <w:jc w:val="center"/>
            </w:pPr>
            <w:r>
              <w:rPr>
                <w:rFonts w:ascii="Arial" w:hAnsi="Arial"/>
                <w:b w:val="0"/>
                <w:color w:val="202020"/>
                <w:sz w:val="16"/>
              </w:rPr>
              <w:t>$0.992</w:t>
            </w:r>
          </w:p>
        </w:tc>
      </w:tr>
      <w:tr>
        <w:tc>
          <w:tcPr>
            <w:tcW w:type="dxa" w:w="4781"/>
          </w:tcPr>
          <w:p>
            <w:pPr>
              <w:spacing w:after="0" w:before="0"/>
            </w:pPr>
            <w:r>
              <w:rPr>
                <w:rFonts w:ascii="Arial" w:hAnsi="Arial"/>
                <w:b w:val="0"/>
                <w:color w:val="202020"/>
                <w:sz w:val="16"/>
              </w:rPr>
              <w:t>Tolls and securement replaced by DEF, fuel tax, misc</w:t>
            </w:r>
          </w:p>
        </w:tc>
        <w:tc>
          <w:tcPr>
            <w:tcW w:type="dxa" w:w="2045"/>
          </w:tcPr>
          <w:p>
            <w:pPr>
              <w:spacing w:after="0" w:before="0"/>
              <w:jc w:val="center"/>
            </w:pPr>
            <w:r>
              <w:rPr>
                <w:rFonts w:ascii="Arial" w:hAnsi="Arial"/>
                <w:b w:val="0"/>
                <w:color w:val="202020"/>
                <w:sz w:val="16"/>
              </w:rPr>
              <w:t>+$0.020</w:t>
            </w:r>
          </w:p>
        </w:tc>
        <w:tc>
          <w:tcPr>
            <w:tcW w:type="dxa" w:w="1483"/>
          </w:tcPr>
          <w:p>
            <w:pPr>
              <w:spacing w:after="0" w:before="0"/>
              <w:jc w:val="center"/>
            </w:pPr>
            <w:r>
              <w:rPr>
                <w:rFonts w:ascii="Arial" w:hAnsi="Arial"/>
                <w:b w:val="0"/>
                <w:color w:val="202020"/>
                <w:sz w:val="16"/>
              </w:rPr>
              <w:t>$1.012</w:t>
            </w:r>
          </w:p>
        </w:tc>
      </w:tr>
      <w:tr>
        <w:tc>
          <w:tcPr>
            <w:tcW w:type="dxa" w:w="4781"/>
            <w:shd w:val="clear" w:fill="F2F5F9"/>
          </w:tcPr>
          <w:p>
            <w:pPr>
              <w:spacing w:after="0" w:before="0"/>
            </w:pPr>
            <w:r>
              <w:rPr>
                <w:rFonts w:ascii="Arial" w:hAnsi="Arial"/>
                <w:b w:val="0"/>
                <w:color w:val="202020"/>
                <w:sz w:val="16"/>
              </w:rPr>
              <w:t>Fixed cost re-derived from statement lines</w:t>
            </w:r>
          </w:p>
        </w:tc>
        <w:tc>
          <w:tcPr>
            <w:tcW w:type="dxa" w:w="2045"/>
            <w:shd w:val="clear" w:fill="F2F5F9"/>
          </w:tcPr>
          <w:p>
            <w:pPr>
              <w:spacing w:after="0" w:before="0"/>
              <w:jc w:val="center"/>
            </w:pPr>
            <w:r>
              <w:rPr>
                <w:rFonts w:ascii="Arial" w:hAnsi="Arial"/>
                <w:b w:val="0"/>
                <w:color w:val="202020"/>
                <w:sz w:val="16"/>
              </w:rPr>
              <w:t>−$0.079</w:t>
            </w:r>
          </w:p>
        </w:tc>
        <w:tc>
          <w:tcPr>
            <w:tcW w:type="dxa" w:w="1483"/>
            <w:shd w:val="clear" w:fill="F2F5F9"/>
          </w:tcPr>
          <w:p>
            <w:pPr>
              <w:spacing w:after="0" w:before="0"/>
              <w:jc w:val="center"/>
            </w:pPr>
            <w:r>
              <w:rPr>
                <w:rFonts w:ascii="Arial" w:hAnsi="Arial"/>
                <w:b w:val="0"/>
                <w:color w:val="202020"/>
                <w:sz w:val="16"/>
              </w:rPr>
              <w:t>$0.934</w:t>
            </w:r>
          </w:p>
        </w:tc>
      </w:tr>
      <w:tr>
        <w:tc>
          <w:tcPr>
            <w:tcW w:type="dxa" w:w="4781"/>
            <w:shd w:val="clear" w:fill="E4E9F0"/>
          </w:tcPr>
          <w:p>
            <w:pPr>
              <w:spacing w:after="0" w:before="0"/>
            </w:pPr>
            <w:r>
              <w:rPr>
                <w:rFonts w:ascii="Arial" w:hAnsi="Arial"/>
                <w:b/>
                <w:color w:val="202020"/>
                <w:sz w:val="16"/>
              </w:rPr>
              <w:t>VERSION 3 ALL-IN, HEAVY LOAD</w:t>
            </w:r>
          </w:p>
        </w:tc>
        <w:tc>
          <w:tcPr>
            <w:tcW w:type="dxa" w:w="2045"/>
            <w:shd w:val="clear" w:fill="E4E9F0"/>
          </w:tcPr>
          <w:p>
            <w:pPr>
              <w:spacing w:after="0" w:before="0"/>
              <w:jc w:val="center"/>
            </w:pPr>
            <w:r>
              <w:rPr>
                <w:rFonts w:ascii="Arial" w:hAnsi="Arial"/>
                <w:b/>
                <w:color w:val="202020"/>
                <w:sz w:val="16"/>
              </w:rPr>
              <w:t>−$0.408 total</w:t>
            </w:r>
          </w:p>
        </w:tc>
        <w:tc>
          <w:tcPr>
            <w:tcW w:type="dxa" w:w="1483"/>
            <w:shd w:val="clear" w:fill="E4E9F0"/>
          </w:tcPr>
          <w:p>
            <w:pPr>
              <w:spacing w:after="0" w:before="0"/>
              <w:jc w:val="center"/>
            </w:pPr>
            <w:r>
              <w:rPr>
                <w:rFonts w:ascii="Arial" w:hAnsi="Arial"/>
                <w:b/>
                <w:color w:val="202020"/>
                <w:sz w:val="16"/>
              </w:rPr>
              <w:t>$0.934</w:t>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The truck payment is $0.280 of a $0.408 move, about 69%. The rest came from reconciliation and revised assumptions. Attributing the whole correction to one line would overstate a single finding and bury four others.</w:t>
      </w:r>
    </w:p>
    <w:tbl>
      <w:tblPr>
        <w:tblW w:type="auto" w:w="0"/>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120" w:type="dxa"/>
          <w:left w:w="160" w:type="dxa"/>
          <w:bottom w:w="120" w:type="dxa"/>
          <w:right w:w="160" w:type="dxa"/>
        </w:tblCellMar>
        <w:tblLayout w:type="fixed"/>
        <w:tblW w:w="9748" w:type="dxa"/>
      </w:tblPr>
      <w:tblGrid>
        <w:gridCol w:w="9748"/>
      </w:tblGrid>
      <w:tr>
        <w:tc>
          <w:tcPr>
            <w:tcW w:type="dxa" w:w="9749"/>
            <w:shd w:val="clear" w:fill="FBF7EE"/>
          </w:tcPr>
          <w:p>
            <w:pPr>
              <w:spacing w:after="60"/>
            </w:pPr>
            <w:r>
              <w:rPr>
                <w:rFonts w:ascii="Arial" w:hAnsi="Arial"/>
                <w:b/>
                <w:color w:val="1F3864"/>
                <w:sz w:val="19"/>
              </w:rPr>
              <w:t>Why the truck payment still matters most</w:t>
            </w:r>
          </w:p>
          <w:p>
            <w:pPr>
              <w:spacing w:after="60" w:before="0"/>
            </w:pPr>
            <w:r>
              <w:rPr>
                <w:rFonts w:ascii="Arial" w:hAnsi="Arial"/>
                <w:color w:val="202020"/>
                <w:sz w:val="18"/>
              </w:rPr>
              <w:t>Against a comparable owner-operator carrying a $33,600 annual note, owning the equipment outright is $0.2937 per mile of structural advantage — $5,643 across this sample and $16,668 across the 56,752 miles run so far this year.</w:t>
            </w:r>
          </w:p>
          <w:p>
            <w:pPr>
              <w:spacing w:after="60" w:before="0"/>
            </w:pPr>
            <w:r>
              <w:rPr>
                <w:rFonts w:ascii="Arial" w:hAnsi="Arial"/>
                <w:color w:val="202020"/>
                <w:sz w:val="18"/>
              </w:rPr>
              <w:t>That is a competitive position rather than an accounting fix. Loads a financed operator has to refuse are still profitable for me, which is most of the reason Florida freight is worth taking when other flatbed drivers avoid it over the deadhead out.</w:t>
            </w:r>
          </w:p>
        </w:tc>
      </w:tr>
    </w:tbl>
    <w:p>
      <w:pPr>
        <w:spacing w:after="40"/>
      </w:pPr>
    </w:p>
    <w:p>
      <w:pPr>
        <w:spacing w:before="300" w:after="100"/>
        <w:keepNext w:val="1"/>
      </w:pPr>
      <w:r>
        <w:rPr>
          <w:rFonts w:ascii="Arial" w:hAnsi="Arial"/>
          <w:b/>
          <w:color w:val="1F3864"/>
          <w:sz w:val="23"/>
        </w:rPr>
        <w:t>HOW THE MODEL TIES TO THE STATEMENT</w:t>
      </w:r>
    </w:p>
    <w:p>
      <w:pPr>
        <w:spacing w:before="0" w:after="160"/>
      </w:pPr>
      <w:r>
        <w:rPr>
          <w:rFonts w:ascii="Arial" w:hAnsi="Arial"/>
          <w:b w:val="0"/>
          <w:i w:val="0"/>
          <w:color w:val="202020"/>
          <w:sz w:val="19"/>
        </w:rPr>
        <w:t>Two figures answer two different questions, and collapsing them into one would be misleading.</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4780"/>
        <w:gridCol w:w="1526"/>
        <w:gridCol w:w="1670"/>
        <w:gridCol w:w="1771"/>
      </w:tblGrid>
      <w:tr>
        <w:trPr>
          <w:tblHeader/>
        </w:trPr>
        <w:tc>
          <w:tcPr>
            <w:tcW w:type="dxa" w:w="4781"/>
            <w:shd w:val="clear" w:fill="1F3864"/>
          </w:tcPr>
          <w:p>
            <w:pPr>
              <w:spacing w:after="0" w:before="0"/>
            </w:pPr>
            <w:r>
              <w:rPr>
                <w:rFonts w:ascii="Arial" w:hAnsi="Arial"/>
                <w:b/>
                <w:color w:val="FFFFFF"/>
                <w:sz w:val="16"/>
              </w:rPr>
            </w:r>
          </w:p>
        </w:tc>
        <w:tc>
          <w:tcPr>
            <w:tcW w:type="dxa" w:w="1526"/>
            <w:shd w:val="clear" w:fill="1F3864"/>
          </w:tcPr>
          <w:p>
            <w:pPr>
              <w:spacing w:after="0" w:before="0"/>
              <w:jc w:val="center"/>
            </w:pPr>
            <w:r>
              <w:rPr>
                <w:rFonts w:ascii="Arial" w:hAnsi="Arial"/>
                <w:b/>
                <w:color w:val="FFFFFF"/>
                <w:sz w:val="16"/>
              </w:rPr>
              <w:t>Model</w:t>
            </w:r>
          </w:p>
        </w:tc>
        <w:tc>
          <w:tcPr>
            <w:tcW w:type="dxa" w:w="1670"/>
            <w:shd w:val="clear" w:fill="1F3864"/>
          </w:tcPr>
          <w:p>
            <w:pPr>
              <w:spacing w:after="0" w:before="0"/>
              <w:jc w:val="center"/>
            </w:pPr>
            <w:r>
              <w:rPr>
                <w:rFonts w:ascii="Arial" w:hAnsi="Arial"/>
                <w:b/>
                <w:color w:val="FFFFFF"/>
                <w:sz w:val="16"/>
              </w:rPr>
              <w:t>Statement</w:t>
            </w:r>
          </w:p>
        </w:tc>
        <w:tc>
          <w:tcPr>
            <w:tcW w:type="dxa" w:w="1771"/>
            <w:shd w:val="clear" w:fill="1F3864"/>
          </w:tcPr>
          <w:p>
            <w:pPr>
              <w:spacing w:after="0" w:before="0"/>
              <w:jc w:val="center"/>
            </w:pPr>
            <w:r>
              <w:rPr>
                <w:rFonts w:ascii="Arial" w:hAnsi="Arial"/>
                <w:b/>
                <w:color w:val="FFFFFF"/>
                <w:sz w:val="16"/>
              </w:rPr>
              <w:t>Gap</w:t>
            </w:r>
          </w:p>
        </w:tc>
      </w:tr>
      <w:tr>
        <w:tc>
          <w:tcPr>
            <w:tcW w:type="dxa" w:w="4781"/>
          </w:tcPr>
          <w:p>
            <w:pPr>
              <w:spacing w:after="0" w:before="0"/>
            </w:pPr>
            <w:r>
              <w:rPr>
                <w:rFonts w:ascii="Arial" w:hAnsi="Arial"/>
                <w:b w:val="0"/>
                <w:color w:val="202020"/>
                <w:sz w:val="16"/>
              </w:rPr>
              <w:t>Like-for-like — model set to statement values</w:t>
            </w:r>
          </w:p>
        </w:tc>
        <w:tc>
          <w:tcPr>
            <w:tcW w:type="dxa" w:w="1526"/>
          </w:tcPr>
          <w:p>
            <w:pPr>
              <w:spacing w:after="0" w:before="0"/>
              <w:jc w:val="center"/>
            </w:pPr>
            <w:r>
              <w:rPr>
                <w:rFonts w:ascii="Arial" w:hAnsi="Arial"/>
                <w:b w:val="0"/>
                <w:color w:val="202020"/>
                <w:sz w:val="16"/>
              </w:rPr>
              <w:t>$0.832</w:t>
            </w:r>
          </w:p>
        </w:tc>
        <w:tc>
          <w:tcPr>
            <w:tcW w:type="dxa" w:w="1670"/>
          </w:tcPr>
          <w:p>
            <w:pPr>
              <w:spacing w:after="0" w:before="0"/>
              <w:jc w:val="center"/>
            </w:pPr>
            <w:r>
              <w:rPr>
                <w:rFonts w:ascii="Arial" w:hAnsi="Arial"/>
                <w:b w:val="0"/>
                <w:color w:val="202020"/>
                <w:sz w:val="16"/>
              </w:rPr>
              <w:t>$0.838</w:t>
            </w:r>
          </w:p>
        </w:tc>
        <w:tc>
          <w:tcPr>
            <w:tcW w:type="dxa" w:w="1771"/>
          </w:tcPr>
          <w:p>
            <w:pPr>
              <w:spacing w:after="0" w:before="0"/>
              <w:jc w:val="center"/>
            </w:pPr>
            <w:r>
              <w:rPr>
                <w:rFonts w:ascii="Arial" w:hAnsi="Arial"/>
                <w:b w:val="0"/>
                <w:color w:val="202020"/>
                <w:sz w:val="16"/>
              </w:rPr>
              <w:t>$0.006</w:t>
            </w:r>
          </w:p>
        </w:tc>
      </w:tr>
      <w:tr>
        <w:tc>
          <w:tcPr>
            <w:tcW w:type="dxa" w:w="4781"/>
            <w:shd w:val="clear" w:fill="F2F5F9"/>
          </w:tcPr>
          <w:p>
            <w:pPr>
              <w:spacing w:after="0" w:before="0"/>
            </w:pPr>
            <w:r>
              <w:rPr>
                <w:rFonts w:ascii="Arial" w:hAnsi="Arial"/>
                <w:b w:val="0"/>
                <w:color w:val="202020"/>
                <w:sz w:val="16"/>
              </w:rPr>
              <w:t>As configured — the model I actually run</w:t>
            </w:r>
          </w:p>
        </w:tc>
        <w:tc>
          <w:tcPr>
            <w:tcW w:type="dxa" w:w="1526"/>
            <w:shd w:val="clear" w:fill="F2F5F9"/>
          </w:tcPr>
          <w:p>
            <w:pPr>
              <w:spacing w:after="0" w:before="0"/>
              <w:jc w:val="center"/>
            </w:pPr>
            <w:r>
              <w:rPr>
                <w:rFonts w:ascii="Arial" w:hAnsi="Arial"/>
                <w:b w:val="0"/>
                <w:color w:val="202020"/>
                <w:sz w:val="16"/>
              </w:rPr>
              <w:t>$0.917</w:t>
            </w:r>
          </w:p>
        </w:tc>
        <w:tc>
          <w:tcPr>
            <w:tcW w:type="dxa" w:w="1670"/>
            <w:shd w:val="clear" w:fill="F2F5F9"/>
          </w:tcPr>
          <w:p>
            <w:pPr>
              <w:spacing w:after="0" w:before="0"/>
              <w:jc w:val="center"/>
            </w:pPr>
            <w:r>
              <w:rPr>
                <w:rFonts w:ascii="Arial" w:hAnsi="Arial"/>
                <w:b w:val="0"/>
                <w:color w:val="202020"/>
                <w:sz w:val="16"/>
              </w:rPr>
              <w:t>$0.838</w:t>
            </w:r>
          </w:p>
        </w:tc>
        <w:tc>
          <w:tcPr>
            <w:tcW w:type="dxa" w:w="1771"/>
            <w:shd w:val="clear" w:fill="F2F5F9"/>
          </w:tcPr>
          <w:p>
            <w:pPr>
              <w:spacing w:after="0" w:before="0"/>
              <w:jc w:val="center"/>
            </w:pPr>
            <w:r>
              <w:rPr>
                <w:rFonts w:ascii="Arial" w:hAnsi="Arial"/>
                <w:b w:val="0"/>
                <w:color w:val="202020"/>
                <w:sz w:val="16"/>
              </w:rPr>
              <w:t>$0.085</w:t>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The first line is the arithmetic check. Set maintenance to the actual $0.065, tires to the zero the statement shows, and divide fixed cost by the statement’s own 101,057 annual miles, and the model returns $0.832 per mile at the year-to-date blended 7.20 mpg. The statement’s operating cost over the same scope, less advances and emergency-fund transfers that are not operating costs, is $0.838. Six tenths of a cent apart. The formulas tie.</w:t>
      </w:r>
    </w:p>
    <w:p>
      <w:pPr>
        <w:spacing w:before="0" w:after="120"/>
      </w:pPr>
      <w:r>
        <w:rPr>
          <w:rFonts w:ascii="Arial" w:hAnsi="Arial"/>
          <w:b w:val="0"/>
          <w:i w:val="0"/>
          <w:color w:val="202020"/>
          <w:sz w:val="19"/>
        </w:rPr>
        <w:t>The second line is what I actually run, and it sits $0.085 above the statement. Every cent of that is an itemized choice, not a discrepancy: maintenance reserved $0.055 above actual, a $0.045 tire reserve the statement does not carry, and $0.015 back from normalizing annual miles. Quoting the $0.006 on its own would imply the model matches the statement. It does not, and it should not — two of those three adjustments exist precisely because the statement understates what the truck costs to run.</w:t>
      </w:r>
    </w:p>
    <w:p>
      <w:pPr>
        <w:spacing w:before="300" w:after="100"/>
        <w:keepNext w:val="1"/>
      </w:pPr>
      <w:r>
        <w:rPr>
          <w:rFonts w:ascii="Arial" w:hAnsi="Arial"/>
          <w:b/>
          <w:color w:val="1F3864"/>
          <w:sz w:val="23"/>
        </w:rPr>
        <w:t xml:space="preserve">RECONCILING ONE LOAD END TO END</w:t>
      </w:r>
    </w:p>
    <w:p>
      <w:pPr>
        <w:spacing w:before="0" w:after="160"/>
      </w:pPr>
      <w:r>
        <w:rPr>
          <w:rFonts w:ascii="Arial" w:hAnsi="Arial"/>
          <w:b w:val="0"/>
          <w:i w:val="0"/>
          <w:color w:val="202020"/>
          <w:sz w:val="19"/>
        </w:rPr>
        <w:t>One trip in the sample appears on this settlement, so it can be reconciled line by line against what the app displayed when I accepted it. It is the only load of the eighteen that can be checked, and it is worth showing in full because the discrepancies are not where I expected them.</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2332"/>
        <w:gridCol w:w="1324"/>
        <w:gridCol w:w="1324"/>
        <w:gridCol w:w="1036"/>
        <w:gridCol w:w="3729"/>
      </w:tblGrid>
      <w:tr>
        <w:trPr>
          <w:tblHeader/>
        </w:trPr>
        <w:tc>
          <w:tcPr>
            <w:tcW w:type="dxa" w:w="2333"/>
            <w:shd w:val="clear" w:fill="1F3864"/>
          </w:tcPr>
          <w:p>
            <w:pPr>
              <w:spacing w:after="0" w:before="0"/>
            </w:pPr>
            <w:r>
              <w:rPr>
                <w:rFonts w:ascii="Arial" w:hAnsi="Arial"/>
                <w:b/>
                <w:color w:val="FFFFFF"/>
                <w:sz w:val="16"/>
              </w:rPr>
              <w:t>Line</w:t>
            </w:r>
          </w:p>
        </w:tc>
        <w:tc>
          <w:tcPr>
            <w:tcW w:type="dxa" w:w="1325"/>
            <w:shd w:val="clear" w:fill="1F3864"/>
          </w:tcPr>
          <w:p>
            <w:pPr>
              <w:spacing w:after="0" w:before="0"/>
              <w:jc w:val="center"/>
            </w:pPr>
            <w:r>
              <w:rPr>
                <w:rFonts w:ascii="Arial" w:hAnsi="Arial"/>
                <w:b/>
                <w:color w:val="FFFFFF"/>
                <w:sz w:val="16"/>
              </w:rPr>
              <w:t>App estimate</w:t>
            </w:r>
          </w:p>
        </w:tc>
        <w:tc>
          <w:tcPr>
            <w:tcW w:type="dxa" w:w="1325"/>
            <w:shd w:val="clear" w:fill="1F3864"/>
          </w:tcPr>
          <w:p>
            <w:pPr>
              <w:spacing w:after="0" w:before="0"/>
              <w:jc w:val="center"/>
            </w:pPr>
            <w:r>
              <w:rPr>
                <w:rFonts w:ascii="Arial" w:hAnsi="Arial"/>
                <w:b/>
                <w:color w:val="FFFFFF"/>
                <w:sz w:val="16"/>
              </w:rPr>
              <w:t>Settlement</w:t>
            </w:r>
          </w:p>
        </w:tc>
        <w:tc>
          <w:tcPr>
            <w:tcW w:type="dxa" w:w="1037"/>
            <w:shd w:val="clear" w:fill="1F3864"/>
          </w:tcPr>
          <w:p>
            <w:pPr>
              <w:spacing w:after="0" w:before="0"/>
              <w:jc w:val="center"/>
            </w:pPr>
            <w:r>
              <w:rPr>
                <w:rFonts w:ascii="Arial" w:hAnsi="Arial"/>
                <w:b/>
                <w:color w:val="FFFFFF"/>
                <w:sz w:val="16"/>
              </w:rPr>
              <w:t>Delta</w:t>
            </w:r>
          </w:p>
        </w:tc>
        <w:tc>
          <w:tcPr>
            <w:tcW w:type="dxa" w:w="3730"/>
            <w:shd w:val="clear" w:fill="1F3864"/>
          </w:tcPr>
          <w:p>
            <w:pPr>
              <w:spacing w:after="0" w:before="0"/>
            </w:pPr>
            <w:r>
              <w:rPr>
                <w:rFonts w:ascii="Arial" w:hAnsi="Arial"/>
                <w:b/>
                <w:color w:val="FFFFFF"/>
                <w:sz w:val="16"/>
              </w:rPr>
              <w:t>Note</w:t>
            </w:r>
          </w:p>
        </w:tc>
      </w:tr>
      <w:tr>
        <w:tc>
          <w:tcPr>
            <w:tcW w:type="dxa" w:w="2333"/>
          </w:tcPr>
          <w:p>
            <w:pPr>
              <w:spacing w:after="0" w:before="0"/>
            </w:pPr>
            <w:r>
              <w:rPr>
                <w:rFonts w:ascii="Arial" w:hAnsi="Arial"/>
                <w:b w:val="0"/>
                <w:color w:val="202020"/>
                <w:sz w:val="16"/>
              </w:rPr>
              <w:t>Loaded miles</w:t>
            </w:r>
          </w:p>
        </w:tc>
        <w:tc>
          <w:tcPr>
            <w:tcW w:type="dxa" w:w="1325"/>
          </w:tcPr>
          <w:p>
            <w:pPr>
              <w:spacing w:after="0" w:before="0"/>
              <w:jc w:val="center"/>
            </w:pPr>
            <w:r>
              <w:rPr>
                <w:rFonts w:ascii="Arial" w:hAnsi="Arial"/>
                <w:b w:val="0"/>
                <w:color w:val="202020"/>
                <w:sz w:val="16"/>
              </w:rPr>
              <w:t>894</w:t>
            </w:r>
          </w:p>
        </w:tc>
        <w:tc>
          <w:tcPr>
            <w:tcW w:type="dxa" w:w="1325"/>
          </w:tcPr>
          <w:p>
            <w:pPr>
              <w:spacing w:after="0" w:before="0"/>
              <w:jc w:val="center"/>
            </w:pPr>
            <w:r>
              <w:rPr>
                <w:rFonts w:ascii="Arial" w:hAnsi="Arial"/>
                <w:b w:val="0"/>
                <w:color w:val="202020"/>
                <w:sz w:val="16"/>
              </w:rPr>
              <w:t>894</w:t>
            </w:r>
          </w:p>
        </w:tc>
        <w:tc>
          <w:tcPr>
            <w:tcW w:type="dxa" w:w="1037"/>
          </w:tcPr>
          <w:p>
            <w:pPr>
              <w:spacing w:after="0" w:before="0"/>
              <w:jc w:val="center"/>
            </w:pPr>
            <w:r>
              <w:rPr>
                <w:rFonts w:ascii="Arial" w:hAnsi="Arial"/>
                <w:b w:val="0"/>
                <w:color w:val="202020"/>
                <w:sz w:val="16"/>
              </w:rPr>
              <w:t>exact</w:t>
            </w:r>
          </w:p>
        </w:tc>
        <w:tc>
          <w:tcPr>
            <w:tcW w:type="dxa" w:w="3730"/>
          </w:tcPr>
          <w:p>
            <w:pPr>
              <w:spacing w:after="0" w:before="0"/>
            </w:pPr>
            <w:r>
              <w:rPr>
                <w:rFonts w:ascii="Arial" w:hAnsi="Arial"/>
                <w:b w:val="0"/>
                <w:color w:val="202020"/>
                <w:sz w:val="16"/>
              </w:rPr>
              <w:t>Matches to the mile.</w:t>
            </w:r>
          </w:p>
        </w:tc>
      </w:tr>
      <w:tr>
        <w:tc>
          <w:tcPr>
            <w:tcW w:type="dxa" w:w="2333"/>
            <w:shd w:val="clear" w:fill="F2F5F9"/>
          </w:tcPr>
          <w:p>
            <w:pPr>
              <w:spacing w:after="0" w:before="0"/>
            </w:pPr>
            <w:r>
              <w:rPr>
                <w:rFonts w:ascii="Arial" w:hAnsi="Arial"/>
                <w:b w:val="0"/>
                <w:color w:val="202020"/>
                <w:sz w:val="16"/>
              </w:rPr>
              <w:t>Empty miles</w:t>
            </w:r>
          </w:p>
        </w:tc>
        <w:tc>
          <w:tcPr>
            <w:tcW w:type="dxa" w:w="1325"/>
            <w:shd w:val="clear" w:fill="F2F5F9"/>
          </w:tcPr>
          <w:p>
            <w:pPr>
              <w:spacing w:after="0" w:before="0"/>
              <w:jc w:val="center"/>
            </w:pPr>
            <w:r>
              <w:rPr>
                <w:rFonts w:ascii="Arial" w:hAnsi="Arial"/>
                <w:b w:val="0"/>
                <w:color w:val="202020"/>
                <w:sz w:val="16"/>
              </w:rPr>
              <w:t>265</w:t>
            </w:r>
          </w:p>
        </w:tc>
        <w:tc>
          <w:tcPr>
            <w:tcW w:type="dxa" w:w="1325"/>
            <w:shd w:val="clear" w:fill="F2F5F9"/>
          </w:tcPr>
          <w:p>
            <w:pPr>
              <w:spacing w:after="0" w:before="0"/>
              <w:jc w:val="center"/>
            </w:pPr>
            <w:r>
              <w:rPr>
                <w:rFonts w:ascii="Arial" w:hAnsi="Arial"/>
                <w:b w:val="0"/>
                <w:color w:val="202020"/>
                <w:sz w:val="16"/>
              </w:rPr>
              <w:t>204</w:t>
            </w:r>
          </w:p>
        </w:tc>
        <w:tc>
          <w:tcPr>
            <w:tcW w:type="dxa" w:w="1037"/>
            <w:shd w:val="clear" w:fill="F2F5F9"/>
          </w:tcPr>
          <w:p>
            <w:pPr>
              <w:spacing w:after="0" w:before="0"/>
              <w:jc w:val="center"/>
            </w:pPr>
            <w:r>
              <w:rPr>
                <w:rFonts w:ascii="Arial" w:hAnsi="Arial"/>
                <w:b w:val="0"/>
                <w:color w:val="202020"/>
                <w:sz w:val="16"/>
              </w:rPr>
              <w:t>−61</w:t>
            </w:r>
          </w:p>
        </w:tc>
        <w:tc>
          <w:tcPr>
            <w:tcW w:type="dxa" w:w="3730"/>
            <w:shd w:val="clear" w:fill="F2F5F9"/>
          </w:tcPr>
          <w:p>
            <w:pPr>
              <w:spacing w:after="0" w:before="0"/>
            </w:pPr>
            <w:r>
              <w:rPr>
                <w:rFonts w:ascii="Arial" w:hAnsi="Arial"/>
                <w:b w:val="0"/>
                <w:color w:val="202020"/>
                <w:sz w:val="16"/>
              </w:rPr>
              <w:t>App showed more. Cause unconfirmed.</w:t>
            </w:r>
          </w:p>
        </w:tc>
      </w:tr>
      <w:tr>
        <w:tc>
          <w:tcPr>
            <w:tcW w:type="dxa" w:w="2333"/>
          </w:tcPr>
          <w:p>
            <w:pPr>
              <w:spacing w:after="0" w:before="0"/>
            </w:pPr>
            <w:r>
              <w:rPr>
                <w:rFonts w:ascii="Arial" w:hAnsi="Arial"/>
                <w:b w:val="0"/>
                <w:color w:val="202020"/>
                <w:sz w:val="16"/>
              </w:rPr>
              <w:t>Total miles</w:t>
            </w:r>
          </w:p>
        </w:tc>
        <w:tc>
          <w:tcPr>
            <w:tcW w:type="dxa" w:w="1325"/>
          </w:tcPr>
          <w:p>
            <w:pPr>
              <w:spacing w:after="0" w:before="0"/>
              <w:jc w:val="center"/>
            </w:pPr>
            <w:r>
              <w:rPr>
                <w:rFonts w:ascii="Arial" w:hAnsi="Arial"/>
                <w:b w:val="0"/>
                <w:color w:val="202020"/>
                <w:sz w:val="16"/>
              </w:rPr>
              <w:t>1,159</w:t>
            </w:r>
          </w:p>
        </w:tc>
        <w:tc>
          <w:tcPr>
            <w:tcW w:type="dxa" w:w="1325"/>
          </w:tcPr>
          <w:p>
            <w:pPr>
              <w:spacing w:after="0" w:before="0"/>
              <w:jc w:val="center"/>
            </w:pPr>
            <w:r>
              <w:rPr>
                <w:rFonts w:ascii="Arial" w:hAnsi="Arial"/>
                <w:b w:val="0"/>
                <w:color w:val="202020"/>
                <w:sz w:val="16"/>
              </w:rPr>
              <w:t>1,098</w:t>
            </w:r>
          </w:p>
        </w:tc>
        <w:tc>
          <w:tcPr>
            <w:tcW w:type="dxa" w:w="1037"/>
          </w:tcPr>
          <w:p>
            <w:pPr>
              <w:spacing w:after="0" w:before="0"/>
              <w:jc w:val="center"/>
            </w:pPr>
            <w:r>
              <w:rPr>
                <w:rFonts w:ascii="Arial" w:hAnsi="Arial"/>
                <w:b w:val="0"/>
                <w:color w:val="202020"/>
                <w:sz w:val="16"/>
              </w:rPr>
              <w:t>−61</w:t>
            </w:r>
          </w:p>
        </w:tc>
        <w:tc>
          <w:tcPr>
            <w:tcW w:type="dxa" w:w="3730"/>
          </w:tcPr>
          <w:p>
            <w:pPr>
              <w:spacing w:after="0" w:before="0"/>
            </w:pPr>
            <w:r>
              <w:rPr>
                <w:rFonts w:ascii="Arial" w:hAnsi="Arial"/>
                <w:b w:val="0"/>
                <w:color w:val="202020"/>
                <w:sz w:val="16"/>
              </w:rPr>
              <w:t>5.3% fewer on this trip. Not a pattern.</w:t>
            </w:r>
          </w:p>
        </w:tc>
      </w:tr>
      <w:tr>
        <w:tc>
          <w:tcPr>
            <w:tcW w:type="dxa" w:w="2333"/>
            <w:shd w:val="clear" w:fill="F2F5F9"/>
          </w:tcPr>
          <w:p>
            <w:pPr>
              <w:spacing w:after="0" w:before="0"/>
            </w:pPr>
            <w:r>
              <w:rPr>
                <w:rFonts w:ascii="Arial" w:hAnsi="Arial"/>
                <w:b w:val="0"/>
                <w:color w:val="202020"/>
                <w:sz w:val="16"/>
              </w:rPr>
              <w:t>Linehaul (owner share)</w:t>
            </w:r>
          </w:p>
        </w:tc>
        <w:tc>
          <w:tcPr>
            <w:tcW w:type="dxa" w:w="1325"/>
            <w:shd w:val="clear" w:fill="F2F5F9"/>
          </w:tcPr>
          <w:p>
            <w:pPr>
              <w:spacing w:after="0" w:before="0"/>
              <w:jc w:val="center"/>
            </w:pPr>
            <w:r>
              <w:rPr>
                <w:rFonts w:ascii="Arial" w:hAnsi="Arial"/>
                <w:b w:val="0"/>
                <w:color w:val="202020"/>
                <w:sz w:val="16"/>
              </w:rPr>
              <w:t>$2,367.83</w:t>
            </w:r>
          </w:p>
        </w:tc>
        <w:tc>
          <w:tcPr>
            <w:tcW w:type="dxa" w:w="1325"/>
            <w:shd w:val="clear" w:fill="F2F5F9"/>
          </w:tcPr>
          <w:p>
            <w:pPr>
              <w:spacing w:after="0" w:before="0"/>
              <w:jc w:val="center"/>
            </w:pPr>
            <w:r>
              <w:rPr>
                <w:rFonts w:ascii="Arial" w:hAnsi="Arial"/>
                <w:b w:val="0"/>
                <w:color w:val="202020"/>
                <w:sz w:val="16"/>
              </w:rPr>
              <w:t>$2,367.94</w:t>
            </w:r>
          </w:p>
        </w:tc>
        <w:tc>
          <w:tcPr>
            <w:tcW w:type="dxa" w:w="1037"/>
            <w:shd w:val="clear" w:fill="F2F5F9"/>
          </w:tcPr>
          <w:p>
            <w:pPr>
              <w:spacing w:after="0" w:before="0"/>
              <w:jc w:val="center"/>
            </w:pPr>
            <w:r>
              <w:rPr>
                <w:rFonts w:ascii="Arial" w:hAnsi="Arial"/>
                <w:b w:val="0"/>
                <w:color w:val="202020"/>
                <w:sz w:val="16"/>
              </w:rPr>
              <w:t>+$0.11</w:t>
            </w:r>
          </w:p>
        </w:tc>
        <w:tc>
          <w:tcPr>
            <w:tcW w:type="dxa" w:w="3730"/>
            <w:shd w:val="clear" w:fill="F2F5F9"/>
          </w:tcPr>
          <w:p>
            <w:pPr>
              <w:spacing w:after="0" w:before="0"/>
            </w:pPr>
            <w:r>
              <w:rPr>
                <w:rFonts w:ascii="Arial" w:hAnsi="Arial"/>
                <w:b w:val="0"/>
                <w:color w:val="202020"/>
                <w:sz w:val="16"/>
              </w:rPr>
              <w:t>72% split of $3,288.81. Rounding only.</w:t>
            </w:r>
          </w:p>
        </w:tc>
      </w:tr>
      <w:tr>
        <w:tc>
          <w:tcPr>
            <w:tcW w:type="dxa" w:w="2333"/>
          </w:tcPr>
          <w:p>
            <w:pPr>
              <w:spacing w:after="0" w:before="0"/>
            </w:pPr>
            <w:r>
              <w:rPr>
                <w:rFonts w:ascii="Arial" w:hAnsi="Arial"/>
                <w:b w:val="0"/>
                <w:color w:val="202020"/>
                <w:sz w:val="16"/>
              </w:rPr>
              <w:t>Fuel surcharge</w:t>
            </w:r>
          </w:p>
        </w:tc>
        <w:tc>
          <w:tcPr>
            <w:tcW w:type="dxa" w:w="1325"/>
          </w:tcPr>
          <w:p>
            <w:pPr>
              <w:spacing w:after="0" w:before="0"/>
              <w:jc w:val="center"/>
            </w:pPr>
            <w:r>
              <w:rPr>
                <w:rFonts w:ascii="Arial" w:hAnsi="Arial"/>
                <w:b w:val="0"/>
                <w:color w:val="202020"/>
                <w:sz w:val="16"/>
              </w:rPr>
              <w:t>$439.20</w:t>
            </w:r>
          </w:p>
        </w:tc>
        <w:tc>
          <w:tcPr>
            <w:tcW w:type="dxa" w:w="1325"/>
          </w:tcPr>
          <w:p>
            <w:pPr>
              <w:spacing w:after="0" w:before="0"/>
              <w:jc w:val="center"/>
            </w:pPr>
            <w:r>
              <w:rPr>
                <w:rFonts w:ascii="Arial" w:hAnsi="Arial"/>
                <w:b w:val="0"/>
                <w:color w:val="202020"/>
                <w:sz w:val="16"/>
              </w:rPr>
              <w:t>$439.20</w:t>
            </w:r>
          </w:p>
        </w:tc>
        <w:tc>
          <w:tcPr>
            <w:tcW w:type="dxa" w:w="1037"/>
          </w:tcPr>
          <w:p>
            <w:pPr>
              <w:spacing w:after="0" w:before="0"/>
              <w:jc w:val="center"/>
            </w:pPr>
            <w:r>
              <w:rPr>
                <w:rFonts w:ascii="Arial" w:hAnsi="Arial"/>
                <w:b w:val="0"/>
                <w:color w:val="202020"/>
                <w:sz w:val="16"/>
              </w:rPr>
              <w:t>—</w:t>
            </w:r>
          </w:p>
        </w:tc>
        <w:tc>
          <w:tcPr>
            <w:tcW w:type="dxa" w:w="3730"/>
          </w:tcPr>
          <w:p>
            <w:pPr>
              <w:spacing w:after="0" w:before="0"/>
            </w:pPr>
            <w:r>
              <w:rPr>
                <w:rFonts w:ascii="Arial" w:hAnsi="Arial"/>
                <w:b w:val="0"/>
                <w:color w:val="202020"/>
                <w:sz w:val="16"/>
              </w:rPr>
              <w:t>Exact.</w:t>
            </w:r>
          </w:p>
        </w:tc>
      </w:tr>
      <w:tr>
        <w:tc>
          <w:tcPr>
            <w:tcW w:type="dxa" w:w="2333"/>
            <w:shd w:val="clear" w:fill="F2F5F9"/>
          </w:tcPr>
          <w:p>
            <w:pPr>
              <w:spacing w:after="0" w:before="0"/>
            </w:pPr>
            <w:r>
              <w:rPr>
                <w:rFonts w:ascii="Arial" w:hAnsi="Arial"/>
                <w:b w:val="0"/>
                <w:color w:val="202020"/>
                <w:sz w:val="16"/>
              </w:rPr>
              <w:t>Stop / pickup pay</w:t>
            </w:r>
          </w:p>
        </w:tc>
        <w:tc>
          <w:tcPr>
            <w:tcW w:type="dxa" w:w="1325"/>
            <w:shd w:val="clear" w:fill="F2F5F9"/>
          </w:tcPr>
          <w:p>
            <w:pPr>
              <w:spacing w:after="0" w:before="0"/>
              <w:jc w:val="center"/>
            </w:pPr>
            <w:r>
              <w:rPr>
                <w:rFonts w:ascii="Arial" w:hAnsi="Arial"/>
                <w:b w:val="0"/>
                <w:color w:val="202020"/>
                <w:sz w:val="16"/>
              </w:rPr>
              <w:t>$144.00</w:t>
            </w:r>
          </w:p>
        </w:tc>
        <w:tc>
          <w:tcPr>
            <w:tcW w:type="dxa" w:w="1325"/>
            <w:shd w:val="clear" w:fill="F2F5F9"/>
          </w:tcPr>
          <w:p>
            <w:pPr>
              <w:spacing w:after="0" w:before="0"/>
              <w:jc w:val="center"/>
            </w:pPr>
            <w:r>
              <w:rPr>
                <w:rFonts w:ascii="Arial" w:hAnsi="Arial"/>
                <w:b w:val="0"/>
                <w:color w:val="202020"/>
                <w:sz w:val="16"/>
              </w:rPr>
              <w:t>$144.00</w:t>
            </w:r>
          </w:p>
        </w:tc>
        <w:tc>
          <w:tcPr>
            <w:tcW w:type="dxa" w:w="1037"/>
            <w:shd w:val="clear" w:fill="F2F5F9"/>
          </w:tcPr>
          <w:p>
            <w:pPr>
              <w:spacing w:after="0" w:before="0"/>
              <w:jc w:val="center"/>
            </w:pPr>
            <w:r>
              <w:rPr>
                <w:rFonts w:ascii="Arial" w:hAnsi="Arial"/>
                <w:b w:val="0"/>
                <w:color w:val="202020"/>
                <w:sz w:val="16"/>
              </w:rPr>
              <w:t>—</w:t>
            </w:r>
          </w:p>
        </w:tc>
        <w:tc>
          <w:tcPr>
            <w:tcW w:type="dxa" w:w="3730"/>
            <w:shd w:val="clear" w:fill="F2F5F9"/>
          </w:tcPr>
          <w:p>
            <w:pPr>
              <w:spacing w:after="0" w:before="0"/>
            </w:pPr>
            <w:r>
              <w:rPr>
                <w:rFonts w:ascii="Arial" w:hAnsi="Arial"/>
                <w:b w:val="0"/>
                <w:color w:val="202020"/>
                <w:sz w:val="16"/>
              </w:rPr>
              <w:t>Exact.</w:t>
            </w:r>
          </w:p>
        </w:tc>
      </w:tr>
      <w:tr>
        <w:tc>
          <w:tcPr>
            <w:tcW w:type="dxa" w:w="2333"/>
          </w:tcPr>
          <w:p>
            <w:pPr>
              <w:spacing w:after="0" w:before="0"/>
            </w:pPr>
            <w:r>
              <w:rPr>
                <w:rFonts w:ascii="Arial" w:hAnsi="Arial"/>
                <w:b w:val="0"/>
                <w:color w:val="202020"/>
                <w:sz w:val="16"/>
              </w:rPr>
              <w:t>Longevity pay</w:t>
            </w:r>
          </w:p>
        </w:tc>
        <w:tc>
          <w:tcPr>
            <w:tcW w:type="dxa" w:w="1325"/>
          </w:tcPr>
          <w:p>
            <w:pPr>
              <w:spacing w:after="0" w:before="0"/>
              <w:jc w:val="center"/>
            </w:pPr>
            <w:r>
              <w:rPr>
                <w:rFonts w:ascii="Arial" w:hAnsi="Arial"/>
                <w:b w:val="0"/>
                <w:color w:val="202020"/>
                <w:sz w:val="16"/>
              </w:rPr>
              <w:t>—</w:t>
            </w:r>
          </w:p>
        </w:tc>
        <w:tc>
          <w:tcPr>
            <w:tcW w:type="dxa" w:w="1325"/>
          </w:tcPr>
          <w:p>
            <w:pPr>
              <w:spacing w:after="0" w:before="0"/>
              <w:jc w:val="center"/>
            </w:pPr>
            <w:r>
              <w:rPr>
                <w:rFonts w:ascii="Arial" w:hAnsi="Arial"/>
                <w:b w:val="0"/>
                <w:color w:val="202020"/>
                <w:sz w:val="16"/>
              </w:rPr>
              <w:t>$21.96</w:t>
            </w:r>
          </w:p>
        </w:tc>
        <w:tc>
          <w:tcPr>
            <w:tcW w:type="dxa" w:w="1037"/>
          </w:tcPr>
          <w:p>
            <w:pPr>
              <w:spacing w:after="0" w:before="0"/>
              <w:jc w:val="center"/>
            </w:pPr>
            <w:r>
              <w:rPr>
                <w:rFonts w:ascii="Arial" w:hAnsi="Arial"/>
                <w:b w:val="0"/>
                <w:color w:val="202020"/>
                <w:sz w:val="16"/>
              </w:rPr>
              <w:t>+$21.96</w:t>
            </w:r>
          </w:p>
        </w:tc>
        <w:tc>
          <w:tcPr>
            <w:tcW w:type="dxa" w:w="3730"/>
          </w:tcPr>
          <w:p>
            <w:pPr>
              <w:spacing w:after="0" w:before="0"/>
            </w:pPr>
            <w:r>
              <w:rPr>
                <w:rFonts w:ascii="Arial" w:hAnsi="Arial"/>
                <w:b w:val="0"/>
                <w:color w:val="202020"/>
                <w:sz w:val="16"/>
              </w:rPr>
              <w:t>Does not appear in the app.</w:t>
            </w:r>
          </w:p>
        </w:tc>
      </w:tr>
      <w:tr>
        <w:tc>
          <w:tcPr>
            <w:tcW w:type="dxa" w:w="2333"/>
            <w:shd w:val="clear" w:fill="F2F5F9"/>
          </w:tcPr>
          <w:p>
            <w:pPr>
              <w:spacing w:after="0" w:before="0"/>
            </w:pPr>
            <w:r>
              <w:rPr>
                <w:rFonts w:ascii="Arial" w:hAnsi="Arial"/>
                <w:b w:val="0"/>
                <w:color w:val="202020"/>
                <w:sz w:val="16"/>
              </w:rPr>
              <w:t>Toll reimbursement</w:t>
            </w:r>
          </w:p>
        </w:tc>
        <w:tc>
          <w:tcPr>
            <w:tcW w:type="dxa" w:w="1325"/>
            <w:shd w:val="clear" w:fill="F2F5F9"/>
          </w:tcPr>
          <w:p>
            <w:pPr>
              <w:spacing w:after="0" w:before="0"/>
              <w:jc w:val="center"/>
            </w:pPr>
            <w:r>
              <w:rPr>
                <w:rFonts w:ascii="Arial" w:hAnsi="Arial"/>
                <w:b w:val="0"/>
                <w:color w:val="202020"/>
                <w:sz w:val="16"/>
              </w:rPr>
              <w:t>—</w:t>
            </w:r>
          </w:p>
        </w:tc>
        <w:tc>
          <w:tcPr>
            <w:tcW w:type="dxa" w:w="1325"/>
            <w:shd w:val="clear" w:fill="F2F5F9"/>
          </w:tcPr>
          <w:p>
            <w:pPr>
              <w:spacing w:after="0" w:before="0"/>
              <w:jc w:val="center"/>
            </w:pPr>
            <w:r>
              <w:rPr>
                <w:rFonts w:ascii="Arial" w:hAnsi="Arial"/>
                <w:b w:val="0"/>
                <w:color w:val="202020"/>
                <w:sz w:val="16"/>
              </w:rPr>
              <w:t>$13.33</w:t>
            </w:r>
          </w:p>
        </w:tc>
        <w:tc>
          <w:tcPr>
            <w:tcW w:type="dxa" w:w="1037"/>
            <w:shd w:val="clear" w:fill="F2F5F9"/>
          </w:tcPr>
          <w:p>
            <w:pPr>
              <w:spacing w:after="0" w:before="0"/>
              <w:jc w:val="center"/>
            </w:pPr>
            <w:r>
              <w:rPr>
                <w:rFonts w:ascii="Arial" w:hAnsi="Arial"/>
                <w:b w:val="0"/>
                <w:color w:val="202020"/>
                <w:sz w:val="16"/>
              </w:rPr>
              <w:t>+$13.33</w:t>
            </w:r>
          </w:p>
        </w:tc>
        <w:tc>
          <w:tcPr>
            <w:tcW w:type="dxa" w:w="3730"/>
            <w:shd w:val="clear" w:fill="F2F5F9"/>
          </w:tcPr>
          <w:p>
            <w:pPr>
              <w:spacing w:after="0" w:before="0"/>
            </w:pPr>
            <w:r>
              <w:rPr>
                <w:rFonts w:ascii="Arial" w:hAnsi="Arial"/>
                <w:b w:val="0"/>
                <w:color w:val="202020"/>
                <w:sz w:val="16"/>
              </w:rPr>
              <w:t>Does not appear in the app.</w:t>
            </w:r>
          </w:p>
        </w:tc>
      </w:tr>
      <w:tr>
        <w:tc>
          <w:tcPr>
            <w:tcW w:type="dxa" w:w="2333"/>
            <w:shd w:val="clear" w:fill="E4E9F0"/>
          </w:tcPr>
          <w:p>
            <w:pPr>
              <w:spacing w:after="0" w:before="0"/>
            </w:pPr>
            <w:r>
              <w:rPr>
                <w:rFonts w:ascii="Arial" w:hAnsi="Arial"/>
                <w:b/>
                <w:color w:val="202020"/>
                <w:sz w:val="16"/>
              </w:rPr>
              <w:t>TOTAL REVENUE</w:t>
            </w:r>
          </w:p>
        </w:tc>
        <w:tc>
          <w:tcPr>
            <w:tcW w:type="dxa" w:w="1325"/>
            <w:shd w:val="clear" w:fill="E4E9F0"/>
          </w:tcPr>
          <w:p>
            <w:pPr>
              <w:spacing w:after="0" w:before="0"/>
              <w:jc w:val="center"/>
            </w:pPr>
            <w:r>
              <w:rPr>
                <w:rFonts w:ascii="Arial" w:hAnsi="Arial"/>
                <w:b/>
                <w:color w:val="202020"/>
                <w:sz w:val="16"/>
              </w:rPr>
              <w:t>$2,951.03</w:t>
            </w:r>
          </w:p>
        </w:tc>
        <w:tc>
          <w:tcPr>
            <w:tcW w:type="dxa" w:w="1325"/>
            <w:shd w:val="clear" w:fill="E4E9F0"/>
          </w:tcPr>
          <w:p>
            <w:pPr>
              <w:spacing w:after="0" w:before="0"/>
              <w:jc w:val="center"/>
            </w:pPr>
            <w:r>
              <w:rPr>
                <w:rFonts w:ascii="Arial" w:hAnsi="Arial"/>
                <w:b/>
                <w:color w:val="202020"/>
                <w:sz w:val="16"/>
              </w:rPr>
              <w:t>$2,986.43</w:t>
            </w:r>
          </w:p>
        </w:tc>
        <w:tc>
          <w:tcPr>
            <w:tcW w:type="dxa" w:w="1037"/>
            <w:shd w:val="clear" w:fill="E4E9F0"/>
          </w:tcPr>
          <w:p>
            <w:pPr>
              <w:spacing w:after="0" w:before="0"/>
              <w:jc w:val="center"/>
            </w:pPr>
            <w:r>
              <w:rPr>
                <w:rFonts w:ascii="Arial" w:hAnsi="Arial"/>
                <w:b/>
                <w:color w:val="202020"/>
                <w:sz w:val="16"/>
              </w:rPr>
              <w:t>+$35.40</w:t>
            </w:r>
          </w:p>
        </w:tc>
        <w:tc>
          <w:tcPr>
            <w:tcW w:type="dxa" w:w="3730"/>
            <w:shd w:val="clear" w:fill="E4E9F0"/>
          </w:tcPr>
          <w:p>
            <w:pPr>
              <w:spacing w:after="0" w:before="0"/>
            </w:pPr>
            <w:r>
              <w:rPr>
                <w:rFonts w:ascii="Arial" w:hAnsi="Arial"/>
                <w:b/>
                <w:color w:val="202020"/>
                <w:sz w:val="16"/>
              </w:rPr>
              <w:t>App understates by the two lines above.</w:t>
            </w:r>
          </w:p>
        </w:tc>
      </w:tr>
      <w:tr>
        <w:tc>
          <w:tcPr>
            <w:tcW w:type="dxa" w:w="2333"/>
            <w:shd w:val="clear" w:fill="E4E9F0"/>
          </w:tcPr>
          <w:p>
            <w:pPr>
              <w:spacing w:after="0" w:before="0"/>
            </w:pPr>
            <w:r>
              <w:rPr>
                <w:rFonts w:ascii="Arial" w:hAnsi="Arial"/>
                <w:b/>
                <w:color w:val="202020"/>
                <w:sz w:val="16"/>
              </w:rPr>
              <w:t>Rate per total mile</w:t>
            </w:r>
          </w:p>
        </w:tc>
        <w:tc>
          <w:tcPr>
            <w:tcW w:type="dxa" w:w="1325"/>
            <w:shd w:val="clear" w:fill="E4E9F0"/>
          </w:tcPr>
          <w:p>
            <w:pPr>
              <w:spacing w:after="0" w:before="0"/>
              <w:jc w:val="center"/>
            </w:pPr>
            <w:r>
              <w:rPr>
                <w:rFonts w:ascii="Arial" w:hAnsi="Arial"/>
                <w:b/>
                <w:color w:val="202020"/>
                <w:sz w:val="16"/>
              </w:rPr>
              <w:t>$2.546</w:t>
            </w:r>
          </w:p>
        </w:tc>
        <w:tc>
          <w:tcPr>
            <w:tcW w:type="dxa" w:w="1325"/>
            <w:shd w:val="clear" w:fill="E4E9F0"/>
          </w:tcPr>
          <w:p>
            <w:pPr>
              <w:spacing w:after="0" w:before="0"/>
              <w:jc w:val="center"/>
            </w:pPr>
            <w:r>
              <w:rPr>
                <w:rFonts w:ascii="Arial" w:hAnsi="Arial"/>
                <w:b/>
                <w:color w:val="202020"/>
                <w:sz w:val="16"/>
              </w:rPr>
              <w:t>$2.720</w:t>
            </w:r>
          </w:p>
        </w:tc>
        <w:tc>
          <w:tcPr>
            <w:tcW w:type="dxa" w:w="1037"/>
            <w:shd w:val="clear" w:fill="E4E9F0"/>
          </w:tcPr>
          <w:p>
            <w:pPr>
              <w:spacing w:after="0" w:before="0"/>
              <w:jc w:val="center"/>
            </w:pPr>
            <w:r>
              <w:rPr>
                <w:rFonts w:ascii="Arial" w:hAnsi="Arial"/>
                <w:b/>
                <w:color w:val="202020"/>
                <w:sz w:val="16"/>
              </w:rPr>
              <w:t>+$0.174</w:t>
            </w:r>
          </w:p>
        </w:tc>
        <w:tc>
          <w:tcPr>
            <w:tcW w:type="dxa" w:w="3730"/>
            <w:shd w:val="clear" w:fill="E4E9F0"/>
          </w:tcPr>
          <w:p>
            <w:pPr>
              <w:spacing w:after="0" w:before="0"/>
            </w:pPr>
            <w:r>
              <w:rPr>
                <w:rFonts w:ascii="Arial" w:hAnsi="Arial"/>
                <w:b/>
                <w:color w:val="202020"/>
                <w:sz w:val="16"/>
              </w:rPr>
              <w:t>On this trip. One observation.</w:t>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The revenue side is close enough to trust: the linehaul matches to eleven cents, and the two missing lines are pay types the app simply does not display. The mileage side is not. Loaded miles matched exactly while empty miles came in 61 short, which rules out a rounding artifact and leaves either a repower-specific quirk or a different mileage basis between the app and the settlement.</w:t>
      </w:r>
    </w:p>
    <w:p>
      <w:pPr>
        <w:spacing w:before="0" w:after="120"/>
      </w:pPr>
      <w:r>
        <w:rPr>
          <w:rFonts w:ascii="Arial" w:hAnsi="Arial"/>
          <w:b w:val="0"/>
          <w:i w:val="0"/>
          <w:color w:val="202020"/>
          <w:sz w:val="19"/>
        </w:rPr>
        <w:t>I have not resolved which, so the other seventeen keep the mileage the app reported and the discrepancy is disclosed rather than quietly corrected. One reconciled trip is one observation. It does not establish that the app runs high generally, and no correction has been applied to the rest on the strength of it. Whether this is a repower artifact or a systematic difference in mileage basis is an open question that seventeen more settlements would answer.</w:t>
      </w:r>
    </w:p>
    <w:p>
      <w:pPr>
        <w:spacing w:before="300" w:after="100"/>
        <w:keepNext w:val="1"/>
      </w:pPr>
      <w:r>
        <w:rPr>
          <w:rFonts w:ascii="Arial" w:hAnsi="Arial"/>
          <w:b/>
          <w:color w:val="1F3864"/>
          <w:sz w:val="23"/>
        </w:rPr>
        <w:t>SCORING MODEL</w:t>
      </w:r>
    </w:p>
    <w:p>
      <w:pPr>
        <w:spacing w:before="0" w:after="160"/>
      </w:pPr>
      <w:r>
        <w:rPr>
          <w:rFonts w:ascii="Arial" w:hAnsi="Arial"/>
          <w:b w:val="0"/>
          <w:i w:val="0"/>
          <w:color w:val="202020"/>
          <w:sz w:val="19"/>
        </w:rPr>
        <w:t>Eight dimensions weighted to 100%. Three are calculated from the load economics. Five are operator judgment scored 1 to 5 at the moment of the offer, because reload strength, facility behavior, securement burden, road conditions, and schedule feasibility are field knowledge that appears on no rate sheet. Keeping calculated and judged visibly separate shows how much of the decision is arithmetic and how much is experience.</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3600"/>
        <w:gridCol w:w="892"/>
        <w:gridCol w:w="1267"/>
        <w:gridCol w:w="3988"/>
      </w:tblGrid>
      <w:tr>
        <w:trPr>
          <w:tblHeader/>
        </w:trPr>
        <w:tc>
          <w:tcPr>
            <w:tcW w:type="dxa" w:w="3600"/>
            <w:shd w:val="clear" w:fill="1F3864"/>
          </w:tcPr>
          <w:p>
            <w:pPr>
              <w:spacing w:after="0" w:before="0"/>
            </w:pPr>
            <w:r>
              <w:rPr>
                <w:rFonts w:ascii="Arial" w:hAnsi="Arial"/>
                <w:b/>
                <w:color w:val="FFFFFF"/>
                <w:sz w:val="16"/>
              </w:rPr>
              <w:t>Dimension</w:t>
            </w:r>
          </w:p>
        </w:tc>
        <w:tc>
          <w:tcPr>
            <w:tcW w:type="dxa" w:w="893"/>
            <w:shd w:val="clear" w:fill="1F3864"/>
          </w:tcPr>
          <w:p>
            <w:pPr>
              <w:spacing w:after="0" w:before="0"/>
              <w:jc w:val="center"/>
            </w:pPr>
            <w:r>
              <w:rPr>
                <w:rFonts w:ascii="Arial" w:hAnsi="Arial"/>
                <w:b/>
                <w:color w:val="FFFFFF"/>
                <w:sz w:val="16"/>
              </w:rPr>
              <w:t>Weight</w:t>
            </w:r>
          </w:p>
        </w:tc>
        <w:tc>
          <w:tcPr>
            <w:tcW w:type="dxa" w:w="1267"/>
            <w:shd w:val="clear" w:fill="1F3864"/>
          </w:tcPr>
          <w:p>
            <w:pPr>
              <w:spacing w:after="0" w:before="0"/>
              <w:jc w:val="center"/>
            </w:pPr>
            <w:r>
              <w:rPr>
                <w:rFonts w:ascii="Arial" w:hAnsi="Arial"/>
                <w:b/>
                <w:color w:val="FFFFFF"/>
                <w:sz w:val="16"/>
              </w:rPr>
              <w:t>Type</w:t>
            </w:r>
          </w:p>
        </w:tc>
        <w:tc>
          <w:tcPr>
            <w:tcW w:type="dxa" w:w="3989"/>
            <w:shd w:val="clear" w:fill="1F3864"/>
          </w:tcPr>
          <w:p>
            <w:pPr>
              <w:spacing w:after="0" w:before="0"/>
            </w:pPr>
            <w:r>
              <w:rPr>
                <w:rFonts w:ascii="Arial" w:hAnsi="Arial"/>
                <w:b/>
                <w:color w:val="FFFFFF"/>
                <w:sz w:val="16"/>
              </w:rPr>
              <w:t>Score 5  /  Score 1 boundary</w:t>
            </w:r>
          </w:p>
        </w:tc>
      </w:tr>
      <w:tr>
        <w:tc>
          <w:tcPr>
            <w:tcW w:type="dxa" w:w="3600"/>
          </w:tcPr>
          <w:p>
            <w:pPr>
              <w:spacing w:after="0" w:before="0"/>
            </w:pPr>
            <w:r>
              <w:rPr>
                <w:rFonts w:ascii="Arial" w:hAnsi="Arial"/>
                <w:b w:val="0"/>
                <w:color w:val="202020"/>
                <w:sz w:val="16"/>
              </w:rPr>
              <w:t>Rate quality — net $ per total mile</w:t>
            </w:r>
          </w:p>
        </w:tc>
        <w:tc>
          <w:tcPr>
            <w:tcW w:type="dxa" w:w="893"/>
          </w:tcPr>
          <w:p>
            <w:pPr>
              <w:spacing w:after="0" w:before="0"/>
              <w:jc w:val="center"/>
            </w:pPr>
            <w:r>
              <w:rPr>
                <w:rFonts w:ascii="Arial" w:hAnsi="Arial"/>
                <w:b w:val="0"/>
                <w:color w:val="202020"/>
                <w:sz w:val="16"/>
              </w:rPr>
              <w:t>25%</w:t>
            </w:r>
          </w:p>
        </w:tc>
        <w:tc>
          <w:tcPr>
            <w:tcW w:type="dxa" w:w="1267"/>
          </w:tcPr>
          <w:p>
            <w:pPr>
              <w:spacing w:after="0" w:before="0"/>
              <w:jc w:val="center"/>
            </w:pPr>
            <w:r>
              <w:rPr>
                <w:rFonts w:ascii="Arial" w:hAnsi="Arial"/>
                <w:b w:val="0"/>
                <w:color w:val="202020"/>
                <w:sz w:val="16"/>
              </w:rPr>
              <w:t>Calculated</w:t>
            </w:r>
          </w:p>
        </w:tc>
        <w:tc>
          <w:tcPr>
            <w:tcW w:type="dxa" w:w="3989"/>
          </w:tcPr>
          <w:p>
            <w:pPr>
              <w:spacing w:after="0" w:before="0"/>
            </w:pPr>
            <w:r>
              <w:rPr>
                <w:rFonts w:ascii="Arial" w:hAnsi="Arial"/>
                <w:b w:val="0"/>
                <w:color w:val="202020"/>
                <w:sz w:val="16"/>
              </w:rPr>
              <w:t>&gt;= $1.60  /  &lt; $1.05</w:t>
            </w:r>
          </w:p>
        </w:tc>
      </w:tr>
      <w:tr>
        <w:tc>
          <w:tcPr>
            <w:tcW w:type="dxa" w:w="3600"/>
            <w:shd w:val="clear" w:fill="F2F5F9"/>
          </w:tcPr>
          <w:p>
            <w:pPr>
              <w:spacing w:after="0" w:before="0"/>
            </w:pPr>
            <w:r>
              <w:rPr>
                <w:rFonts w:ascii="Arial" w:hAnsi="Arial"/>
                <w:b w:val="0"/>
                <w:color w:val="202020"/>
                <w:sz w:val="16"/>
              </w:rPr>
              <w:t>Destination value — reload, hub, or home</w:t>
            </w:r>
          </w:p>
        </w:tc>
        <w:tc>
          <w:tcPr>
            <w:tcW w:type="dxa" w:w="893"/>
            <w:shd w:val="clear" w:fill="F2F5F9"/>
          </w:tcPr>
          <w:p>
            <w:pPr>
              <w:spacing w:after="0" w:before="0"/>
              <w:jc w:val="center"/>
            </w:pPr>
            <w:r>
              <w:rPr>
                <w:rFonts w:ascii="Arial" w:hAnsi="Arial"/>
                <w:b w:val="0"/>
                <w:color w:val="202020"/>
                <w:sz w:val="16"/>
              </w:rPr>
              <w:t>25%</w:t>
            </w:r>
          </w:p>
        </w:tc>
        <w:tc>
          <w:tcPr>
            <w:tcW w:type="dxa" w:w="1267"/>
            <w:shd w:val="clear" w:fill="F2F5F9"/>
          </w:tcPr>
          <w:p>
            <w:pPr>
              <w:spacing w:after="0" w:before="0"/>
              <w:jc w:val="center"/>
            </w:pPr>
            <w:r>
              <w:rPr>
                <w:rFonts w:ascii="Arial" w:hAnsi="Arial"/>
                <w:b w:val="0"/>
                <w:color w:val="202020"/>
                <w:sz w:val="16"/>
              </w:rPr>
              <w:t>Judgment</w:t>
            </w:r>
          </w:p>
        </w:tc>
        <w:tc>
          <w:tcPr>
            <w:tcW w:type="dxa" w:w="3989"/>
            <w:shd w:val="clear" w:fill="F2F5F9"/>
          </w:tcPr>
          <w:p>
            <w:pPr>
              <w:spacing w:after="0" w:before="0"/>
            </w:pPr>
            <w:r>
              <w:rPr>
                <w:rFonts w:ascii="Arial" w:hAnsi="Arial"/>
                <w:b w:val="0"/>
                <w:color w:val="202020"/>
                <w:sz w:val="16"/>
              </w:rPr>
              <w:t>Hub or home  /  Dead market</w:t>
            </w:r>
          </w:p>
        </w:tc>
      </w:tr>
      <w:tr>
        <w:tc>
          <w:tcPr>
            <w:tcW w:type="dxa" w:w="3600"/>
          </w:tcPr>
          <w:p>
            <w:pPr>
              <w:spacing w:after="0" w:before="0"/>
            </w:pPr>
            <w:r>
              <w:rPr>
                <w:rFonts w:ascii="Arial" w:hAnsi="Arial"/>
                <w:b w:val="0"/>
                <w:color w:val="202020"/>
                <w:sz w:val="16"/>
              </w:rPr>
              <w:t>Time efficiency — net $ per hour committed</w:t>
            </w:r>
          </w:p>
        </w:tc>
        <w:tc>
          <w:tcPr>
            <w:tcW w:type="dxa" w:w="893"/>
          </w:tcPr>
          <w:p>
            <w:pPr>
              <w:spacing w:after="0" w:before="0"/>
              <w:jc w:val="center"/>
            </w:pPr>
            <w:r>
              <w:rPr>
                <w:rFonts w:ascii="Arial" w:hAnsi="Arial"/>
                <w:b w:val="0"/>
                <w:color w:val="202020"/>
                <w:sz w:val="16"/>
              </w:rPr>
              <w:t>15%</w:t>
            </w:r>
          </w:p>
        </w:tc>
        <w:tc>
          <w:tcPr>
            <w:tcW w:type="dxa" w:w="1267"/>
          </w:tcPr>
          <w:p>
            <w:pPr>
              <w:spacing w:after="0" w:before="0"/>
              <w:jc w:val="center"/>
            </w:pPr>
            <w:r>
              <w:rPr>
                <w:rFonts w:ascii="Arial" w:hAnsi="Arial"/>
                <w:b w:val="0"/>
                <w:color w:val="202020"/>
                <w:sz w:val="16"/>
              </w:rPr>
              <w:t>Calculated</w:t>
            </w:r>
          </w:p>
        </w:tc>
        <w:tc>
          <w:tcPr>
            <w:tcW w:type="dxa" w:w="3989"/>
          </w:tcPr>
          <w:p>
            <w:pPr>
              <w:spacing w:after="0" w:before="0"/>
            </w:pPr>
            <w:r>
              <w:rPr>
                <w:rFonts w:ascii="Arial" w:hAnsi="Arial"/>
                <w:b w:val="0"/>
                <w:color w:val="202020"/>
                <w:sz w:val="16"/>
              </w:rPr>
              <w:t>&gt;= $78  /  &lt; $50</w:t>
            </w:r>
          </w:p>
        </w:tc>
      </w:tr>
      <w:tr>
        <w:tc>
          <w:tcPr>
            <w:tcW w:type="dxa" w:w="3600"/>
            <w:shd w:val="clear" w:fill="F2F5F9"/>
          </w:tcPr>
          <w:p>
            <w:pPr>
              <w:spacing w:after="0" w:before="0"/>
            </w:pPr>
            <w:r>
              <w:rPr>
                <w:rFonts w:ascii="Arial" w:hAnsi="Arial"/>
                <w:b w:val="0"/>
                <w:color w:val="202020"/>
                <w:sz w:val="16"/>
              </w:rPr>
              <w:t>Deadhead efficiency — empty as % of total</w:t>
            </w:r>
          </w:p>
        </w:tc>
        <w:tc>
          <w:tcPr>
            <w:tcW w:type="dxa" w:w="893"/>
            <w:shd w:val="clear" w:fill="F2F5F9"/>
          </w:tcPr>
          <w:p>
            <w:pPr>
              <w:spacing w:after="0" w:before="0"/>
              <w:jc w:val="center"/>
            </w:pPr>
            <w:r>
              <w:rPr>
                <w:rFonts w:ascii="Arial" w:hAnsi="Arial"/>
                <w:b w:val="0"/>
                <w:color w:val="202020"/>
                <w:sz w:val="16"/>
              </w:rPr>
              <w:t>10%</w:t>
            </w:r>
          </w:p>
        </w:tc>
        <w:tc>
          <w:tcPr>
            <w:tcW w:type="dxa" w:w="1267"/>
            <w:shd w:val="clear" w:fill="F2F5F9"/>
          </w:tcPr>
          <w:p>
            <w:pPr>
              <w:spacing w:after="0" w:before="0"/>
              <w:jc w:val="center"/>
            </w:pPr>
            <w:r>
              <w:rPr>
                <w:rFonts w:ascii="Arial" w:hAnsi="Arial"/>
                <w:b w:val="0"/>
                <w:color w:val="202020"/>
                <w:sz w:val="16"/>
              </w:rPr>
              <w:t>Calculated</w:t>
            </w:r>
          </w:p>
        </w:tc>
        <w:tc>
          <w:tcPr>
            <w:tcW w:type="dxa" w:w="3989"/>
            <w:shd w:val="clear" w:fill="F2F5F9"/>
          </w:tcPr>
          <w:p>
            <w:pPr>
              <w:spacing w:after="0" w:before="0"/>
            </w:pPr>
            <w:r>
              <w:rPr>
                <w:rFonts w:ascii="Arial" w:hAnsi="Arial"/>
                <w:b w:val="0"/>
                <w:color w:val="202020"/>
                <w:sz w:val="16"/>
              </w:rPr>
              <w:t>&lt;= 5%  /  &gt; 28%</w:t>
            </w:r>
          </w:p>
        </w:tc>
      </w:tr>
      <w:tr>
        <w:tc>
          <w:tcPr>
            <w:tcW w:type="dxa" w:w="3600"/>
          </w:tcPr>
          <w:p>
            <w:pPr>
              <w:spacing w:after="0" w:before="0"/>
            </w:pPr>
            <w:r>
              <w:rPr>
                <w:rFonts w:ascii="Arial" w:hAnsi="Arial"/>
                <w:b w:val="0"/>
                <w:color w:val="202020"/>
                <w:sz w:val="16"/>
              </w:rPr>
              <w:t>Dwell and detention risk</w:t>
            </w:r>
          </w:p>
        </w:tc>
        <w:tc>
          <w:tcPr>
            <w:tcW w:type="dxa" w:w="893"/>
          </w:tcPr>
          <w:p>
            <w:pPr>
              <w:spacing w:after="0" w:before="0"/>
              <w:jc w:val="center"/>
            </w:pPr>
            <w:r>
              <w:rPr>
                <w:rFonts w:ascii="Arial" w:hAnsi="Arial"/>
                <w:b w:val="0"/>
                <w:color w:val="202020"/>
                <w:sz w:val="16"/>
              </w:rPr>
              <w:t>10%</w:t>
            </w:r>
          </w:p>
        </w:tc>
        <w:tc>
          <w:tcPr>
            <w:tcW w:type="dxa" w:w="1267"/>
          </w:tcPr>
          <w:p>
            <w:pPr>
              <w:spacing w:after="0" w:before="0"/>
              <w:jc w:val="center"/>
            </w:pPr>
            <w:r>
              <w:rPr>
                <w:rFonts w:ascii="Arial" w:hAnsi="Arial"/>
                <w:b w:val="0"/>
                <w:color w:val="202020"/>
                <w:sz w:val="16"/>
              </w:rPr>
              <w:t>Judgment</w:t>
            </w:r>
          </w:p>
        </w:tc>
        <w:tc>
          <w:tcPr>
            <w:tcW w:type="dxa" w:w="3989"/>
          </w:tcPr>
          <w:p>
            <w:pPr>
              <w:spacing w:after="0" w:before="0"/>
            </w:pPr>
            <w:r>
              <w:rPr>
                <w:rFonts w:ascii="Arial" w:hAnsi="Arial"/>
                <w:b w:val="0"/>
                <w:color w:val="202020"/>
                <w:sz w:val="16"/>
              </w:rPr>
              <w:t>Drop &amp; hook  /  Known problem facility</w:t>
            </w:r>
          </w:p>
        </w:tc>
      </w:tr>
      <w:tr>
        <w:tc>
          <w:tcPr>
            <w:tcW w:type="dxa" w:w="3600"/>
            <w:shd w:val="clear" w:fill="F2F5F9"/>
          </w:tcPr>
          <w:p>
            <w:pPr>
              <w:spacing w:after="0" w:before="0"/>
            </w:pPr>
            <w:r>
              <w:rPr>
                <w:rFonts w:ascii="Arial" w:hAnsi="Arial"/>
                <w:b w:val="0"/>
                <w:color w:val="202020"/>
                <w:sz w:val="16"/>
              </w:rPr>
              <w:t>Securement and handling burden</w:t>
            </w:r>
          </w:p>
        </w:tc>
        <w:tc>
          <w:tcPr>
            <w:tcW w:type="dxa" w:w="893"/>
            <w:shd w:val="clear" w:fill="F2F5F9"/>
          </w:tcPr>
          <w:p>
            <w:pPr>
              <w:spacing w:after="0" w:before="0"/>
              <w:jc w:val="center"/>
            </w:pPr>
            <w:r>
              <w:rPr>
                <w:rFonts w:ascii="Arial" w:hAnsi="Arial"/>
                <w:b w:val="0"/>
                <w:color w:val="202020"/>
                <w:sz w:val="16"/>
              </w:rPr>
              <w:t>5%</w:t>
            </w:r>
          </w:p>
        </w:tc>
        <w:tc>
          <w:tcPr>
            <w:tcW w:type="dxa" w:w="1267"/>
            <w:shd w:val="clear" w:fill="F2F5F9"/>
          </w:tcPr>
          <w:p>
            <w:pPr>
              <w:spacing w:after="0" w:before="0"/>
              <w:jc w:val="center"/>
            </w:pPr>
            <w:r>
              <w:rPr>
                <w:rFonts w:ascii="Arial" w:hAnsi="Arial"/>
                <w:b w:val="0"/>
                <w:color w:val="202020"/>
                <w:sz w:val="16"/>
              </w:rPr>
              <w:t>Judgment</w:t>
            </w:r>
          </w:p>
        </w:tc>
        <w:tc>
          <w:tcPr>
            <w:tcW w:type="dxa" w:w="3989"/>
            <w:shd w:val="clear" w:fill="F2F5F9"/>
          </w:tcPr>
          <w:p>
            <w:pPr>
              <w:spacing w:after="0" w:before="0"/>
            </w:pPr>
            <w:r>
              <w:rPr>
                <w:rFonts w:ascii="Arial" w:hAnsi="Arial"/>
                <w:b w:val="0"/>
                <w:color w:val="202020"/>
                <w:sz w:val="16"/>
              </w:rPr>
              <w:t>No tarp  /  Oversize with escort</w:t>
            </w:r>
          </w:p>
        </w:tc>
      </w:tr>
      <w:tr>
        <w:tc>
          <w:tcPr>
            <w:tcW w:type="dxa" w:w="3600"/>
          </w:tcPr>
          <w:p>
            <w:pPr>
              <w:spacing w:after="0" w:before="0"/>
            </w:pPr>
            <w:r>
              <w:rPr>
                <w:rFonts w:ascii="Arial" w:hAnsi="Arial"/>
                <w:b w:val="0"/>
                <w:color w:val="202020"/>
                <w:sz w:val="16"/>
              </w:rPr>
              <w:t>Route conditions</w:t>
            </w:r>
          </w:p>
        </w:tc>
        <w:tc>
          <w:tcPr>
            <w:tcW w:type="dxa" w:w="893"/>
          </w:tcPr>
          <w:p>
            <w:pPr>
              <w:spacing w:after="0" w:before="0"/>
              <w:jc w:val="center"/>
            </w:pPr>
            <w:r>
              <w:rPr>
                <w:rFonts w:ascii="Arial" w:hAnsi="Arial"/>
                <w:b w:val="0"/>
                <w:color w:val="202020"/>
                <w:sz w:val="16"/>
              </w:rPr>
              <w:t>5%</w:t>
            </w:r>
          </w:p>
        </w:tc>
        <w:tc>
          <w:tcPr>
            <w:tcW w:type="dxa" w:w="1267"/>
          </w:tcPr>
          <w:p>
            <w:pPr>
              <w:spacing w:after="0" w:before="0"/>
              <w:jc w:val="center"/>
            </w:pPr>
            <w:r>
              <w:rPr>
                <w:rFonts w:ascii="Arial" w:hAnsi="Arial"/>
                <w:b w:val="0"/>
                <w:color w:val="202020"/>
                <w:sz w:val="16"/>
              </w:rPr>
              <w:t>Judgment</w:t>
            </w:r>
          </w:p>
        </w:tc>
        <w:tc>
          <w:tcPr>
            <w:tcW w:type="dxa" w:w="3989"/>
          </w:tcPr>
          <w:p>
            <w:pPr>
              <w:spacing w:after="0" w:before="0"/>
            </w:pPr>
            <w:r>
              <w:rPr>
                <w:rFonts w:ascii="Arial" w:hAnsi="Arial"/>
                <w:b w:val="0"/>
                <w:color w:val="202020"/>
                <w:sz w:val="16"/>
              </w:rPr>
              <w:t>Flat, cheap fuel  /  Grades, no parking</w:t>
            </w:r>
          </w:p>
        </w:tc>
      </w:tr>
      <w:tr>
        <w:tc>
          <w:tcPr>
            <w:tcW w:type="dxa" w:w="3600"/>
            <w:shd w:val="clear" w:fill="F2F5F9"/>
          </w:tcPr>
          <w:p>
            <w:pPr>
              <w:spacing w:after="0" w:before="0"/>
            </w:pPr>
            <w:r>
              <w:rPr>
                <w:rFonts w:ascii="Arial" w:hAnsi="Arial"/>
                <w:b w:val="0"/>
                <w:color w:val="202020"/>
                <w:sz w:val="16"/>
              </w:rPr>
              <w:t>Hours-of-service and appointment feasibility</w:t>
            </w:r>
          </w:p>
        </w:tc>
        <w:tc>
          <w:tcPr>
            <w:tcW w:type="dxa" w:w="893"/>
            <w:shd w:val="clear" w:fill="F2F5F9"/>
          </w:tcPr>
          <w:p>
            <w:pPr>
              <w:spacing w:after="0" w:before="0"/>
              <w:jc w:val="center"/>
            </w:pPr>
            <w:r>
              <w:rPr>
                <w:rFonts w:ascii="Arial" w:hAnsi="Arial"/>
                <w:b w:val="0"/>
                <w:color w:val="202020"/>
                <w:sz w:val="16"/>
              </w:rPr>
              <w:t>5%</w:t>
            </w:r>
          </w:p>
        </w:tc>
        <w:tc>
          <w:tcPr>
            <w:tcW w:type="dxa" w:w="1267"/>
            <w:shd w:val="clear" w:fill="F2F5F9"/>
          </w:tcPr>
          <w:p>
            <w:pPr>
              <w:spacing w:after="0" w:before="0"/>
              <w:jc w:val="center"/>
            </w:pPr>
            <w:r>
              <w:rPr>
                <w:rFonts w:ascii="Arial" w:hAnsi="Arial"/>
                <w:b w:val="0"/>
                <w:color w:val="202020"/>
                <w:sz w:val="16"/>
              </w:rPr>
              <w:t>Judgment</w:t>
            </w:r>
          </w:p>
        </w:tc>
        <w:tc>
          <w:tcPr>
            <w:tcW w:type="dxa" w:w="3989"/>
            <w:shd w:val="clear" w:fill="F2F5F9"/>
          </w:tcPr>
          <w:p>
            <w:pPr>
              <w:spacing w:after="0" w:before="0"/>
            </w:pPr>
            <w:r>
              <w:rPr>
                <w:rFonts w:ascii="Arial" w:hAnsi="Arial"/>
                <w:b w:val="0"/>
                <w:color w:val="202020"/>
                <w:sz w:val="16"/>
              </w:rPr>
              <w:t>Ample margin  /  Not legally possible</w:t>
            </w:r>
          </w:p>
        </w:tc>
      </w:tr>
    </w:tbl>
    <w:p>
      <w:pPr>
        <w:spacing w:before="80" w:after="120"/>
      </w:pPr>
      <w:r>
        <w:rPr>
          <w:rFonts w:ascii="Arial" w:hAnsi="Arial"/>
          <w:b w:val="0"/>
          <w:i w:val="0"/>
          <w:color w:val="5B6573"/>
          <w:sz w:val="17"/>
        </w:rPr>
        <w:t xml:space="preserve">The rate band has been re-cut in every version, which is the point rather than an embarrassment. Version 1 called $0.60 a five against a $1.342 cost floor. Version 2 raised it to $1.50 when the phantom truck payment came out. Version 3 raises it again to $1.60 because the settlement-derived stack came in lower still. Left at the version 1 setting, seventeen of eighteen loads score a five and the dimension stops measuring anything.</w:t>
      </w:r>
    </w:p>
    <w:p>
      <w:pPr>
        <w:spacing w:before="300" w:after="100"/>
        <w:keepNext w:val="1"/>
      </w:pPr>
      <w:r>
        <w:rPr>
          <w:rFonts w:ascii="Arial" w:hAnsi="Arial"/>
          <w:b/>
          <w:color w:val="1F3864"/>
          <w:sz w:val="23"/>
        </w:rPr>
        <w:t>THE THREE OVERRIDE GATES</w:t>
      </w:r>
    </w:p>
    <w:p>
      <w:pPr>
        <w:spacing w:before="0" w:after="120"/>
      </w:pPr>
      <w:r>
        <w:rPr>
          <w:rFonts w:ascii="Arial" w:hAnsi="Arial"/>
          <w:b w:val="0"/>
          <w:i w:val="0"/>
          <w:color w:val="202020"/>
          <w:sz w:val="19"/>
        </w:rPr>
        <w:t>A weighted average can be dragged upward by strong dimensions while the load remains unacceptable. Three conditions override the score outright and force a decline. This is the difference between a scoring exercise and a decision system.</w:t>
      </w:r>
    </w:p>
    <w:p>
      <w:pPr>
        <w:spacing w:before="0" w:after="100"/>
        <w:ind w:left="317"/>
      </w:pPr>
      <w:r>
        <w:rPr>
          <w:rFonts w:ascii="Arial" w:hAnsi="Arial"/>
          <w:b/>
          <w:color w:val="1F3864"/>
          <w:sz w:val="19"/>
        </w:rPr>
        <w:t xml:space="preserve">•   </w:t>
      </w:r>
      <w:r>
        <w:rPr>
          <w:rFonts w:ascii="Arial" w:hAnsi="Arial"/>
          <w:b/>
          <w:color w:val="202020"/>
          <w:sz w:val="19"/>
        </w:rPr>
        <w:t xml:space="preserve">Gate 1 — negative net contribution.  </w:t>
      </w:r>
      <w:r>
        <w:rPr>
          <w:rFonts w:ascii="Arial" w:hAnsi="Arial"/>
          <w:color w:val="202020"/>
          <w:sz w:val="19"/>
        </w:rPr>
        <w:t>The load does not cover its own all-in cost. No amount of reload strength repairs a negative contribution.</w:t>
      </w:r>
    </w:p>
    <w:p>
      <w:pPr>
        <w:spacing w:before="0" w:after="100"/>
        <w:ind w:left="317"/>
      </w:pPr>
      <w:r>
        <w:rPr>
          <w:rFonts w:ascii="Arial" w:hAnsi="Arial"/>
          <w:b/>
          <w:color w:val="1F3864"/>
          <w:sz w:val="19"/>
        </w:rPr>
        <w:t xml:space="preserve">•   </w:t>
      </w:r>
      <w:r>
        <w:rPr>
          <w:rFonts w:ascii="Arial" w:hAnsi="Arial"/>
          <w:b/>
          <w:color w:val="202020"/>
          <w:sz w:val="19"/>
        </w:rPr>
        <w:t xml:space="preserve">Gate 2 — deadhead above tolerance.  </w:t>
      </w:r>
      <w:r>
        <w:rPr>
          <w:rFonts w:ascii="Arial" w:hAnsi="Arial"/>
          <w:color w:val="202020"/>
          <w:sz w:val="19"/>
        </w:rPr>
        <w:t>Set at 35% of total miles. Empty miles are unbillable and consume hours of service that cannot be recovered.</w:t>
      </w:r>
    </w:p>
    <w:p>
      <w:pPr>
        <w:spacing w:before="0" w:after="100"/>
        <w:ind w:left="317"/>
      </w:pPr>
      <w:r>
        <w:rPr>
          <w:rFonts w:ascii="Arial" w:hAnsi="Arial"/>
          <w:b/>
          <w:color w:val="1F3864"/>
          <w:sz w:val="19"/>
        </w:rPr>
        <w:t xml:space="preserve">•   </w:t>
      </w:r>
      <w:r>
        <w:rPr>
          <w:rFonts w:ascii="Arial" w:hAnsi="Arial"/>
          <w:b/>
          <w:color w:val="202020"/>
          <w:sz w:val="19"/>
        </w:rPr>
        <w:t xml:space="preserve">Gate 3 — infeasible or blacklisted.  </w:t>
      </w:r>
      <w:r>
        <w:rPr>
          <w:rFonts w:ascii="Arial" w:hAnsi="Arial"/>
          <w:color w:val="202020"/>
          <w:sz w:val="19"/>
        </w:rPr>
        <w:t>If the appointment cannot legally be made the rate is irrelevant, and accepting creates compliance exposure. A blacklisted facility trips the same gate. Three sit on that list, each for a documented incident, and they are permanent declines regardless of what they pay.</w:t>
      </w:r>
    </w:p>
    <w:p>
      <w:pPr>
        <w:spacing w:before="300" w:after="100"/>
        <w:keepNext w:val="1"/>
      </w:pPr>
      <w:r>
        <w:rPr>
          <w:rFonts w:ascii="Arial" w:hAnsi="Arial"/>
          <w:b/>
          <w:color w:val="1F3864"/>
          <w:sz w:val="23"/>
        </w:rPr>
        <w:t>THE SAMPLE: 18 COMPLETED TRIPS</w:t>
      </w:r>
    </w:p>
    <w:p>
      <w:pPr>
        <w:spacing w:before="0" w:after="160"/>
      </w:pPr>
      <w:r>
        <w:rPr>
          <w:rFonts w:ascii="Arial" w:hAnsi="Arial"/>
          <w:b w:val="0"/>
          <w:i w:val="0"/>
          <w:color w:val="202020"/>
          <w:sz w:val="19"/>
        </w:rPr>
        <w:t xml:space="preserve">Net dollars per mile is after the settlement-derived all-in cost. Model score is on the 1 to 5 weighted scale; operator score is the 1 to 10 rating I assigned each load after delivery.</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8985" w:type="dxa"/>
      </w:tblPr>
      <w:tblGrid>
        <w:gridCol w:w="633"/>
        <w:gridCol w:w="3225"/>
        <w:gridCol w:w="907"/>
        <w:gridCol w:w="835"/>
        <w:gridCol w:w="691"/>
        <w:gridCol w:w="691"/>
        <w:gridCol w:w="489"/>
        <w:gridCol w:w="1512"/>
      </w:tblGrid>
      <w:tr>
        <w:trPr>
          <w:tblHeader/>
        </w:trPr>
        <w:tc>
          <w:tcPr>
            <w:tcW w:type="dxa" w:w="634"/>
            <w:shd w:val="clear" w:fill="1F3864"/>
          </w:tcPr>
          <w:p>
            <w:pPr>
              <w:spacing w:after="0" w:before="0"/>
            </w:pPr>
            <w:r>
              <w:rPr>
                <w:rFonts w:ascii="Arial" w:hAnsi="Arial"/>
                <w:b/>
                <w:color w:val="FFFFFF"/>
                <w:sz w:val="14"/>
              </w:rPr>
              <w:t>Load</w:t>
            </w:r>
          </w:p>
        </w:tc>
        <w:tc>
          <w:tcPr>
            <w:tcW w:type="dxa" w:w="3226"/>
            <w:shd w:val="clear" w:fill="1F3864"/>
          </w:tcPr>
          <w:p>
            <w:pPr>
              <w:spacing w:after="0" w:before="0"/>
            </w:pPr>
            <w:r>
              <w:rPr>
                <w:rFonts w:ascii="Arial" w:hAnsi="Arial"/>
                <w:b/>
                <w:color w:val="FFFFFF"/>
                <w:sz w:val="14"/>
              </w:rPr>
              <w:t>Lane</w:t>
            </w:r>
          </w:p>
        </w:tc>
        <w:tc>
          <w:tcPr>
            <w:tcW w:type="dxa" w:w="907"/>
            <w:shd w:val="clear" w:fill="1F3864"/>
          </w:tcPr>
          <w:p>
            <w:pPr>
              <w:spacing w:after="0" w:before="0"/>
              <w:jc w:val="center"/>
            </w:pPr>
            <w:r>
              <w:rPr>
                <w:rFonts w:ascii="Arial" w:hAnsi="Arial"/>
                <w:b/>
                <w:color w:val="FFFFFF"/>
                <w:sz w:val="14"/>
              </w:rPr>
              <w:t>Gross $/mi</w:t>
            </w:r>
          </w:p>
        </w:tc>
        <w:tc>
          <w:tcPr>
            <w:tcW w:type="dxa" w:w="835"/>
            <w:shd w:val="clear" w:fill="1F3864"/>
          </w:tcPr>
          <w:p>
            <w:pPr>
              <w:spacing w:after="0" w:before="0"/>
              <w:jc w:val="center"/>
            </w:pPr>
            <w:r>
              <w:rPr>
                <w:rFonts w:ascii="Arial" w:hAnsi="Arial"/>
                <w:b/>
                <w:color w:val="FFFFFF"/>
                <w:sz w:val="14"/>
              </w:rPr>
              <w:t>Net $/mi</w:t>
            </w:r>
          </w:p>
        </w:tc>
        <w:tc>
          <w:tcPr>
            <w:tcW w:type="dxa" w:w="691"/>
            <w:shd w:val="clear" w:fill="1F3864"/>
          </w:tcPr>
          <w:p>
            <w:pPr>
              <w:spacing w:after="0" w:before="0"/>
              <w:jc w:val="center"/>
            </w:pPr>
            <w:r>
              <w:rPr>
                <w:rFonts w:ascii="Arial" w:hAnsi="Arial"/>
                <w:b/>
                <w:color w:val="FFFFFF"/>
                <w:sz w:val="14"/>
              </w:rPr>
              <w:t>DH %</w:t>
            </w:r>
          </w:p>
        </w:tc>
        <w:tc>
          <w:tcPr>
            <w:tcW w:type="dxa" w:w="691"/>
            <w:shd w:val="clear" w:fill="1F3864"/>
          </w:tcPr>
          <w:p>
            <w:pPr>
              <w:spacing w:after="0" w:before="0"/>
              <w:jc w:val="center"/>
            </w:pPr>
            <w:r>
              <w:rPr>
                <w:rFonts w:ascii="Arial" w:hAnsi="Arial"/>
                <w:b/>
                <w:color w:val="FFFFFF"/>
                <w:sz w:val="14"/>
              </w:rPr>
              <w:t>Model</w:t>
            </w:r>
          </w:p>
        </w:tc>
        <w:tc>
          <w:tcPr>
            <w:tcW w:type="dxa" w:w="490"/>
            <w:shd w:val="clear" w:fill="1F3864"/>
          </w:tcPr>
          <w:p>
            <w:pPr>
              <w:spacing w:after="0" w:before="0"/>
              <w:jc w:val="center"/>
            </w:pPr>
            <w:r>
              <w:rPr>
                <w:rFonts w:ascii="Arial" w:hAnsi="Arial"/>
                <w:b/>
                <w:color w:val="FFFFFF"/>
                <w:sz w:val="14"/>
              </w:rPr>
              <w:t>Op</w:t>
            </w:r>
          </w:p>
        </w:tc>
        <w:tc>
          <w:tcPr>
            <w:tcW w:type="dxa" w:w="1512"/>
            <w:shd w:val="clear" w:fill="1F3864"/>
          </w:tcPr>
          <w:p>
            <w:pPr>
              <w:spacing w:after="0" w:before="0"/>
              <w:jc w:val="center"/>
            </w:pPr>
            <w:r>
              <w:rPr>
                <w:rFonts w:ascii="Arial" w:hAnsi="Arial"/>
                <w:b/>
                <w:color w:val="FFFFFF"/>
                <w:sz w:val="14"/>
              </w:rPr>
              <w:t>Decision</w:t>
            </w:r>
          </w:p>
        </w:tc>
      </w:tr>
      <w:tr>
        <w:tc>
          <w:tcPr>
            <w:tcW w:type="dxa" w:w="634"/>
          </w:tcPr>
          <w:p>
            <w:pPr>
              <w:spacing w:after="0" w:before="0"/>
            </w:pPr>
            <w:r>
              <w:rPr>
                <w:rFonts w:ascii="Arial" w:hAnsi="Arial"/>
                <w:b w:val="0"/>
                <w:color w:val="202020"/>
                <w:sz w:val="15"/>
              </w:rPr>
              <w:t>L-01</w:t>
            </w:r>
          </w:p>
        </w:tc>
        <w:tc>
          <w:tcPr>
            <w:tcW w:type="dxa" w:w="3226"/>
          </w:tcPr>
          <w:p>
            <w:pPr>
              <w:spacing w:after="0" w:before="0"/>
            </w:pPr>
            <w:r>
              <w:rPr>
                <w:rFonts w:ascii="Arial" w:hAnsi="Arial"/>
                <w:b w:val="0"/>
                <w:color w:val="202020"/>
                <w:sz w:val="15"/>
              </w:rPr>
              <w:t>Visalia CA → Peoria AZ</w:t>
            </w:r>
          </w:p>
        </w:tc>
        <w:tc>
          <w:tcPr>
            <w:tcW w:type="dxa" w:w="907"/>
          </w:tcPr>
          <w:p>
            <w:pPr>
              <w:spacing w:after="0" w:before="0"/>
              <w:jc w:val="center"/>
            </w:pPr>
            <w:r>
              <w:rPr>
                <w:rFonts w:ascii="Arial" w:hAnsi="Arial"/>
                <w:b w:val="0"/>
                <w:color w:val="202020"/>
                <w:sz w:val="15"/>
              </w:rPr>
              <w:t>$2.08</w:t>
            </w:r>
          </w:p>
        </w:tc>
        <w:tc>
          <w:tcPr>
            <w:tcW w:type="dxa" w:w="835"/>
          </w:tcPr>
          <w:p>
            <w:pPr>
              <w:spacing w:after="0" w:before="0"/>
              <w:jc w:val="center"/>
            </w:pPr>
            <w:r>
              <w:rPr>
                <w:rFonts w:ascii="Arial" w:hAnsi="Arial"/>
                <w:b w:val="0"/>
                <w:color w:val="202020"/>
                <w:sz w:val="15"/>
              </w:rPr>
              <w:t>$1.25</w:t>
            </w:r>
          </w:p>
        </w:tc>
        <w:tc>
          <w:tcPr>
            <w:tcW w:type="dxa" w:w="691"/>
          </w:tcPr>
          <w:p>
            <w:pPr>
              <w:spacing w:after="0" w:before="0"/>
              <w:jc w:val="center"/>
            </w:pPr>
            <w:r>
              <w:rPr>
                <w:rFonts w:ascii="Arial" w:hAnsi="Arial"/>
                <w:b w:val="0"/>
                <w:color w:val="202020"/>
                <w:sz w:val="15"/>
              </w:rPr>
              <w:t>27.5%</w:t>
            </w:r>
          </w:p>
        </w:tc>
        <w:tc>
          <w:tcPr>
            <w:tcW w:type="dxa" w:w="691"/>
          </w:tcPr>
          <w:p>
            <w:pPr>
              <w:spacing w:after="0" w:before="0"/>
              <w:jc w:val="center"/>
            </w:pPr>
            <w:r>
              <w:rPr>
                <w:rFonts w:ascii="Arial" w:hAnsi="Arial"/>
                <w:b w:val="0"/>
                <w:color w:val="202020"/>
                <w:sz w:val="15"/>
              </w:rPr>
              <w:t>3.50</w:t>
            </w:r>
          </w:p>
        </w:tc>
        <w:tc>
          <w:tcPr>
            <w:tcW w:type="dxa" w:w="490"/>
          </w:tcPr>
          <w:p>
            <w:pPr>
              <w:spacing w:after="0" w:before="0"/>
              <w:jc w:val="center"/>
            </w:pPr>
            <w:r>
              <w:rPr>
                <w:rFonts w:ascii="Arial" w:hAnsi="Arial"/>
                <w:b w:val="0"/>
                <w:color w:val="202020"/>
                <w:sz w:val="15"/>
              </w:rPr>
              <w:t>8</w:t>
            </w:r>
          </w:p>
        </w:tc>
        <w:tc>
          <w:tcPr>
            <w:tcW w:type="dxa" w:w="1512"/>
          </w:tcPr>
          <w:p>
            <w:pPr>
              <w:spacing w:after="0" w:before="0"/>
              <w:jc w:val="center"/>
            </w:pPr>
            <w:r>
              <w:rPr>
                <w:rFonts w:ascii="Arial" w:hAnsi="Arial"/>
                <w:b w:val="0"/>
                <w:color w:val="202020"/>
                <w:sz w:val="15"/>
              </w:rPr>
              <w:t>NEGOTIATE</w:t>
            </w:r>
          </w:p>
        </w:tc>
      </w:tr>
      <w:tr>
        <w:tc>
          <w:tcPr>
            <w:tcW w:type="dxa" w:w="634"/>
            <w:shd w:val="clear" w:fill="F2F5F9"/>
          </w:tcPr>
          <w:p>
            <w:pPr>
              <w:spacing w:after="0" w:before="0"/>
            </w:pPr>
            <w:r>
              <w:rPr>
                <w:rFonts w:ascii="Arial" w:hAnsi="Arial"/>
                <w:b w:val="0"/>
                <w:color w:val="202020"/>
                <w:sz w:val="15"/>
              </w:rPr>
              <w:t>L-02</w:t>
            </w:r>
          </w:p>
        </w:tc>
        <w:tc>
          <w:tcPr>
            <w:tcW w:type="dxa" w:w="3226"/>
            <w:shd w:val="clear" w:fill="F2F5F9"/>
          </w:tcPr>
          <w:p>
            <w:pPr>
              <w:spacing w:after="0" w:before="0"/>
            </w:pPr>
            <w:r>
              <w:rPr>
                <w:rFonts w:ascii="Arial" w:hAnsi="Arial"/>
                <w:b w:val="0"/>
                <w:color w:val="202020"/>
                <w:sz w:val="15"/>
              </w:rPr>
              <w:t>Tempe AZ → Rayville LA</w:t>
            </w:r>
          </w:p>
        </w:tc>
        <w:tc>
          <w:tcPr>
            <w:tcW w:type="dxa" w:w="907"/>
            <w:shd w:val="clear" w:fill="F2F5F9"/>
          </w:tcPr>
          <w:p>
            <w:pPr>
              <w:spacing w:after="0" w:before="0"/>
              <w:jc w:val="center"/>
            </w:pPr>
            <w:r>
              <w:rPr>
                <w:rFonts w:ascii="Arial" w:hAnsi="Arial"/>
                <w:b w:val="0"/>
                <w:color w:val="202020"/>
                <w:sz w:val="15"/>
              </w:rPr>
              <w:t>$2.15</w:t>
            </w:r>
          </w:p>
        </w:tc>
        <w:tc>
          <w:tcPr>
            <w:tcW w:type="dxa" w:w="835"/>
            <w:shd w:val="clear" w:fill="F2F5F9"/>
          </w:tcPr>
          <w:p>
            <w:pPr>
              <w:spacing w:after="0" w:before="0"/>
              <w:jc w:val="center"/>
            </w:pPr>
            <w:r>
              <w:rPr>
                <w:rFonts w:ascii="Arial" w:hAnsi="Arial"/>
                <w:b w:val="0"/>
                <w:color w:val="202020"/>
                <w:sz w:val="15"/>
              </w:rPr>
              <w:t>$1.39</w:t>
            </w:r>
          </w:p>
        </w:tc>
        <w:tc>
          <w:tcPr>
            <w:tcW w:type="dxa" w:w="691"/>
            <w:shd w:val="clear" w:fill="F2F5F9"/>
          </w:tcPr>
          <w:p>
            <w:pPr>
              <w:spacing w:after="0" w:before="0"/>
              <w:jc w:val="center"/>
            </w:pPr>
            <w:r>
              <w:rPr>
                <w:rFonts w:ascii="Arial" w:hAnsi="Arial"/>
                <w:b w:val="0"/>
                <w:color w:val="202020"/>
                <w:sz w:val="15"/>
              </w:rPr>
              <w:t>1.8%</w:t>
            </w:r>
          </w:p>
        </w:tc>
        <w:tc>
          <w:tcPr>
            <w:tcW w:type="dxa" w:w="691"/>
            <w:shd w:val="clear" w:fill="F2F5F9"/>
          </w:tcPr>
          <w:p>
            <w:pPr>
              <w:spacing w:after="0" w:before="0"/>
              <w:jc w:val="center"/>
            </w:pPr>
            <w:r>
              <w:rPr>
                <w:rFonts w:ascii="Arial" w:hAnsi="Arial"/>
                <w:b w:val="0"/>
                <w:color w:val="202020"/>
                <w:sz w:val="15"/>
              </w:rPr>
              <w:t>4.05</w:t>
            </w:r>
          </w:p>
        </w:tc>
        <w:tc>
          <w:tcPr>
            <w:tcW w:type="dxa" w:w="490"/>
            <w:shd w:val="clear" w:fill="F2F5F9"/>
          </w:tcPr>
          <w:p>
            <w:pPr>
              <w:spacing w:after="0" w:before="0"/>
              <w:jc w:val="center"/>
            </w:pPr>
            <w:r>
              <w:rPr>
                <w:rFonts w:ascii="Arial" w:hAnsi="Arial"/>
                <w:b w:val="0"/>
                <w:color w:val="202020"/>
                <w:sz w:val="15"/>
              </w:rPr>
              <w:t>9</w:t>
            </w:r>
          </w:p>
        </w:tc>
        <w:tc>
          <w:tcPr>
            <w:tcW w:type="dxa" w:w="1512"/>
            <w:shd w:val="clear" w:fill="F2F5F9"/>
          </w:tcPr>
          <w:p>
            <w:pPr>
              <w:spacing w:after="0" w:before="0"/>
              <w:jc w:val="center"/>
            </w:pPr>
            <w:r>
              <w:rPr>
                <w:rFonts w:ascii="Arial" w:hAnsi="Arial"/>
                <w:b w:val="0"/>
                <w:color w:val="202020"/>
                <w:sz w:val="15"/>
              </w:rPr>
              <w:t>ACCEPT</w:t>
            </w:r>
          </w:p>
        </w:tc>
      </w:tr>
      <w:tr>
        <w:tc>
          <w:tcPr>
            <w:tcW w:type="dxa" w:w="634"/>
          </w:tcPr>
          <w:p>
            <w:pPr>
              <w:spacing w:after="0" w:before="0"/>
            </w:pPr>
            <w:r>
              <w:rPr>
                <w:rFonts w:ascii="Arial" w:hAnsi="Arial"/>
                <w:b w:val="0"/>
                <w:color w:val="202020"/>
                <w:sz w:val="15"/>
              </w:rPr>
              <w:t>L-03</w:t>
            </w:r>
          </w:p>
        </w:tc>
        <w:tc>
          <w:tcPr>
            <w:tcW w:type="dxa" w:w="3226"/>
          </w:tcPr>
          <w:p>
            <w:pPr>
              <w:spacing w:after="0" w:before="0"/>
            </w:pPr>
            <w:r>
              <w:rPr>
                <w:rFonts w:ascii="Arial" w:hAnsi="Arial"/>
                <w:b w:val="0"/>
                <w:color w:val="202020"/>
                <w:sz w:val="15"/>
              </w:rPr>
              <w:t>Natchitoches LA → Salt Lake City UT</w:t>
            </w:r>
          </w:p>
        </w:tc>
        <w:tc>
          <w:tcPr>
            <w:tcW w:type="dxa" w:w="907"/>
          </w:tcPr>
          <w:p>
            <w:pPr>
              <w:spacing w:after="0" w:before="0"/>
              <w:jc w:val="center"/>
            </w:pPr>
            <w:r>
              <w:rPr>
                <w:rFonts w:ascii="Arial" w:hAnsi="Arial"/>
                <w:b w:val="0"/>
                <w:color w:val="202020"/>
                <w:sz w:val="15"/>
              </w:rPr>
              <w:t>$2.36</w:t>
            </w:r>
          </w:p>
        </w:tc>
        <w:tc>
          <w:tcPr>
            <w:tcW w:type="dxa" w:w="835"/>
          </w:tcPr>
          <w:p>
            <w:pPr>
              <w:spacing w:after="0" w:before="0"/>
              <w:jc w:val="center"/>
            </w:pPr>
            <w:r>
              <w:rPr>
                <w:rFonts w:ascii="Arial" w:hAnsi="Arial"/>
                <w:b w:val="0"/>
                <w:color w:val="202020"/>
                <w:sz w:val="15"/>
              </w:rPr>
              <w:t>$1.43</w:t>
            </w:r>
          </w:p>
        </w:tc>
        <w:tc>
          <w:tcPr>
            <w:tcW w:type="dxa" w:w="691"/>
          </w:tcPr>
          <w:p>
            <w:pPr>
              <w:spacing w:after="0" w:before="0"/>
              <w:jc w:val="center"/>
            </w:pPr>
            <w:r>
              <w:rPr>
                <w:rFonts w:ascii="Arial" w:hAnsi="Arial"/>
                <w:b w:val="0"/>
                <w:color w:val="202020"/>
                <w:sz w:val="15"/>
              </w:rPr>
              <w:t>8.1%</w:t>
            </w:r>
          </w:p>
        </w:tc>
        <w:tc>
          <w:tcPr>
            <w:tcW w:type="dxa" w:w="691"/>
          </w:tcPr>
          <w:p>
            <w:pPr>
              <w:spacing w:after="0" w:before="0"/>
              <w:jc w:val="center"/>
            </w:pPr>
            <w:r>
              <w:rPr>
                <w:rFonts w:ascii="Arial" w:hAnsi="Arial"/>
                <w:b w:val="0"/>
                <w:color w:val="202020"/>
                <w:sz w:val="15"/>
              </w:rPr>
              <w:t>4.40</w:t>
            </w:r>
          </w:p>
        </w:tc>
        <w:tc>
          <w:tcPr>
            <w:tcW w:type="dxa" w:w="490"/>
          </w:tcPr>
          <w:p>
            <w:pPr>
              <w:spacing w:after="0" w:before="0"/>
              <w:jc w:val="center"/>
            </w:pPr>
            <w:r>
              <w:rPr>
                <w:rFonts w:ascii="Arial" w:hAnsi="Arial"/>
                <w:b w:val="0"/>
                <w:color w:val="202020"/>
                <w:sz w:val="15"/>
              </w:rPr>
              <w:t>8</w:t>
            </w:r>
          </w:p>
        </w:tc>
        <w:tc>
          <w:tcPr>
            <w:tcW w:type="dxa" w:w="1512"/>
          </w:tcPr>
          <w:p>
            <w:pPr>
              <w:spacing w:after="0" w:before="0"/>
              <w:jc w:val="center"/>
            </w:pPr>
            <w:r>
              <w:rPr>
                <w:rFonts w:ascii="Arial" w:hAnsi="Arial"/>
                <w:b w:val="0"/>
                <w:color w:val="202020"/>
                <w:sz w:val="15"/>
              </w:rPr>
              <w:t>ACCEPT</w:t>
            </w:r>
          </w:p>
        </w:tc>
      </w:tr>
      <w:tr>
        <w:tc>
          <w:tcPr>
            <w:tcW w:type="dxa" w:w="634"/>
            <w:shd w:val="clear" w:fill="F2F5F9"/>
          </w:tcPr>
          <w:p>
            <w:pPr>
              <w:spacing w:after="0" w:before="0"/>
            </w:pPr>
            <w:r>
              <w:rPr>
                <w:rFonts w:ascii="Arial" w:hAnsi="Arial"/>
                <w:b w:val="0"/>
                <w:color w:val="202020"/>
                <w:sz w:val="15"/>
              </w:rPr>
              <w:t>L-04</w:t>
            </w:r>
          </w:p>
        </w:tc>
        <w:tc>
          <w:tcPr>
            <w:tcW w:type="dxa" w:w="3226"/>
            <w:shd w:val="clear" w:fill="F2F5F9"/>
          </w:tcPr>
          <w:p>
            <w:pPr>
              <w:spacing w:after="0" w:before="0"/>
            </w:pPr>
            <w:r>
              <w:rPr>
                <w:rFonts w:ascii="Arial" w:hAnsi="Arial"/>
                <w:b w:val="0"/>
                <w:color w:val="202020"/>
                <w:sz w:val="15"/>
              </w:rPr>
              <w:t>Cedar City UT → Brentwood CA</w:t>
            </w:r>
          </w:p>
        </w:tc>
        <w:tc>
          <w:tcPr>
            <w:tcW w:type="dxa" w:w="907"/>
            <w:shd w:val="clear" w:fill="F2F5F9"/>
          </w:tcPr>
          <w:p>
            <w:pPr>
              <w:spacing w:after="0" w:before="0"/>
              <w:jc w:val="center"/>
            </w:pPr>
            <w:r>
              <w:rPr>
                <w:rFonts w:ascii="Arial" w:hAnsi="Arial"/>
                <w:b w:val="0"/>
                <w:color w:val="202020"/>
                <w:sz w:val="15"/>
              </w:rPr>
              <w:t>$2.52</w:t>
            </w:r>
          </w:p>
        </w:tc>
        <w:tc>
          <w:tcPr>
            <w:tcW w:type="dxa" w:w="835"/>
            <w:shd w:val="clear" w:fill="F2F5F9"/>
          </w:tcPr>
          <w:p>
            <w:pPr>
              <w:spacing w:after="0" w:before="0"/>
              <w:jc w:val="center"/>
            </w:pPr>
            <w:r>
              <w:rPr>
                <w:rFonts w:ascii="Arial" w:hAnsi="Arial"/>
                <w:b w:val="0"/>
                <w:color w:val="202020"/>
                <w:sz w:val="15"/>
              </w:rPr>
              <w:t>$1.58</w:t>
            </w:r>
          </w:p>
        </w:tc>
        <w:tc>
          <w:tcPr>
            <w:tcW w:type="dxa" w:w="691"/>
            <w:shd w:val="clear" w:fill="F2F5F9"/>
          </w:tcPr>
          <w:p>
            <w:pPr>
              <w:spacing w:after="0" w:before="0"/>
              <w:jc w:val="center"/>
            </w:pPr>
            <w:r>
              <w:rPr>
                <w:rFonts w:ascii="Arial" w:hAnsi="Arial"/>
                <w:b w:val="0"/>
                <w:color w:val="202020"/>
                <w:sz w:val="15"/>
              </w:rPr>
              <w:t>26.9%</w:t>
            </w:r>
          </w:p>
        </w:tc>
        <w:tc>
          <w:tcPr>
            <w:tcW w:type="dxa" w:w="691"/>
            <w:shd w:val="clear" w:fill="F2F5F9"/>
          </w:tcPr>
          <w:p>
            <w:pPr>
              <w:spacing w:after="0" w:before="0"/>
              <w:jc w:val="center"/>
            </w:pPr>
            <w:r>
              <w:rPr>
                <w:rFonts w:ascii="Arial" w:hAnsi="Arial"/>
                <w:b w:val="0"/>
                <w:color w:val="202020"/>
                <w:sz w:val="15"/>
              </w:rPr>
              <w:t>4.40</w:t>
            </w:r>
          </w:p>
        </w:tc>
        <w:tc>
          <w:tcPr>
            <w:tcW w:type="dxa" w:w="490"/>
            <w:shd w:val="clear" w:fill="F2F5F9"/>
          </w:tcPr>
          <w:p>
            <w:pPr>
              <w:spacing w:after="0" w:before="0"/>
              <w:jc w:val="center"/>
            </w:pPr>
            <w:r>
              <w:rPr>
                <w:rFonts w:ascii="Arial" w:hAnsi="Arial"/>
                <w:b w:val="0"/>
                <w:color w:val="202020"/>
                <w:sz w:val="15"/>
              </w:rPr>
              <w:t>10</w:t>
            </w:r>
          </w:p>
        </w:tc>
        <w:tc>
          <w:tcPr>
            <w:tcW w:type="dxa" w:w="1512"/>
            <w:shd w:val="clear" w:fill="F2F5F9"/>
          </w:tcPr>
          <w:p>
            <w:pPr>
              <w:spacing w:after="0" w:before="0"/>
              <w:jc w:val="center"/>
            </w:pPr>
            <w:r>
              <w:rPr>
                <w:rFonts w:ascii="Arial" w:hAnsi="Arial"/>
                <w:b w:val="0"/>
                <w:color w:val="202020"/>
                <w:sz w:val="15"/>
              </w:rPr>
              <w:t>ACCEPT</w:t>
            </w:r>
          </w:p>
        </w:tc>
      </w:tr>
      <w:tr>
        <w:tc>
          <w:tcPr>
            <w:tcW w:type="dxa" w:w="634"/>
          </w:tcPr>
          <w:p>
            <w:pPr>
              <w:spacing w:after="0" w:before="0"/>
            </w:pPr>
            <w:r>
              <w:rPr>
                <w:rFonts w:ascii="Arial" w:hAnsi="Arial"/>
                <w:b w:val="0"/>
                <w:color w:val="202020"/>
                <w:sz w:val="15"/>
              </w:rPr>
              <w:t>L-05</w:t>
            </w:r>
          </w:p>
        </w:tc>
        <w:tc>
          <w:tcPr>
            <w:tcW w:type="dxa" w:w="3226"/>
          </w:tcPr>
          <w:p>
            <w:pPr>
              <w:spacing w:after="0" w:before="0"/>
            </w:pPr>
            <w:r>
              <w:rPr>
                <w:rFonts w:ascii="Arial" w:hAnsi="Arial"/>
                <w:b w:val="0"/>
                <w:color w:val="202020"/>
                <w:sz w:val="15"/>
              </w:rPr>
              <w:t>Oakland CA → Mead CO</w:t>
            </w:r>
          </w:p>
        </w:tc>
        <w:tc>
          <w:tcPr>
            <w:tcW w:type="dxa" w:w="907"/>
          </w:tcPr>
          <w:p>
            <w:pPr>
              <w:spacing w:after="0" w:before="0"/>
              <w:jc w:val="center"/>
            </w:pPr>
            <w:r>
              <w:rPr>
                <w:rFonts w:ascii="Arial" w:hAnsi="Arial"/>
                <w:b w:val="0"/>
                <w:color w:val="202020"/>
                <w:sz w:val="15"/>
              </w:rPr>
              <w:t>$2.40</w:t>
            </w:r>
          </w:p>
        </w:tc>
        <w:tc>
          <w:tcPr>
            <w:tcW w:type="dxa" w:w="835"/>
          </w:tcPr>
          <w:p>
            <w:pPr>
              <w:spacing w:after="0" w:before="0"/>
              <w:jc w:val="center"/>
            </w:pPr>
            <w:r>
              <w:rPr>
                <w:rFonts w:ascii="Arial" w:hAnsi="Arial"/>
                <w:b w:val="0"/>
                <w:color w:val="202020"/>
                <w:sz w:val="15"/>
              </w:rPr>
              <w:t>$1.46</w:t>
            </w:r>
          </w:p>
        </w:tc>
        <w:tc>
          <w:tcPr>
            <w:tcW w:type="dxa" w:w="691"/>
          </w:tcPr>
          <w:p>
            <w:pPr>
              <w:spacing w:after="0" w:before="0"/>
              <w:jc w:val="center"/>
            </w:pPr>
            <w:r>
              <w:rPr>
                <w:rFonts w:ascii="Arial" w:hAnsi="Arial"/>
                <w:b w:val="0"/>
                <w:color w:val="202020"/>
                <w:sz w:val="15"/>
              </w:rPr>
              <w:t>3.7%</w:t>
            </w:r>
          </w:p>
        </w:tc>
        <w:tc>
          <w:tcPr>
            <w:tcW w:type="dxa" w:w="691"/>
          </w:tcPr>
          <w:p>
            <w:pPr>
              <w:spacing w:after="0" w:before="0"/>
              <w:jc w:val="center"/>
            </w:pPr>
            <w:r>
              <w:rPr>
                <w:rFonts w:ascii="Arial" w:hAnsi="Arial"/>
                <w:b w:val="0"/>
                <w:color w:val="202020"/>
                <w:sz w:val="15"/>
              </w:rPr>
              <w:t>4.05</w:t>
            </w:r>
          </w:p>
        </w:tc>
        <w:tc>
          <w:tcPr>
            <w:tcW w:type="dxa" w:w="490"/>
          </w:tcPr>
          <w:p>
            <w:pPr>
              <w:spacing w:after="0" w:before="0"/>
              <w:jc w:val="center"/>
            </w:pPr>
            <w:r>
              <w:rPr>
                <w:rFonts w:ascii="Arial" w:hAnsi="Arial"/>
                <w:b w:val="0"/>
                <w:color w:val="202020"/>
                <w:sz w:val="15"/>
              </w:rPr>
              <w:t>9</w:t>
            </w:r>
          </w:p>
        </w:tc>
        <w:tc>
          <w:tcPr>
            <w:tcW w:type="dxa" w:w="1512"/>
          </w:tcPr>
          <w:p>
            <w:pPr>
              <w:spacing w:after="0" w:before="0"/>
              <w:jc w:val="center"/>
            </w:pPr>
            <w:r>
              <w:rPr>
                <w:rFonts w:ascii="Arial" w:hAnsi="Arial"/>
                <w:b w:val="0"/>
                <w:color w:val="202020"/>
                <w:sz w:val="15"/>
              </w:rPr>
              <w:t>ACCEPT</w:t>
            </w:r>
          </w:p>
        </w:tc>
      </w:tr>
      <w:tr>
        <w:tc>
          <w:tcPr>
            <w:tcW w:type="dxa" w:w="634"/>
            <w:shd w:val="clear" w:fill="F2F5F9"/>
          </w:tcPr>
          <w:p>
            <w:pPr>
              <w:spacing w:after="0" w:before="0"/>
            </w:pPr>
            <w:r>
              <w:rPr>
                <w:rFonts w:ascii="Arial" w:hAnsi="Arial"/>
                <w:b w:val="0"/>
                <w:color w:val="202020"/>
                <w:sz w:val="15"/>
              </w:rPr>
              <w:t>L-06</w:t>
            </w:r>
          </w:p>
        </w:tc>
        <w:tc>
          <w:tcPr>
            <w:tcW w:type="dxa" w:w="3226"/>
            <w:shd w:val="clear" w:fill="F2F5F9"/>
          </w:tcPr>
          <w:p>
            <w:pPr>
              <w:spacing w:after="0" w:before="0"/>
            </w:pPr>
            <w:r>
              <w:rPr>
                <w:rFonts w:ascii="Arial" w:hAnsi="Arial"/>
                <w:b w:val="0"/>
                <w:color w:val="202020"/>
                <w:sz w:val="15"/>
              </w:rPr>
              <w:t>Pueblo CO → Stillwater OK</w:t>
            </w:r>
          </w:p>
        </w:tc>
        <w:tc>
          <w:tcPr>
            <w:tcW w:type="dxa" w:w="907"/>
            <w:shd w:val="clear" w:fill="F2F5F9"/>
          </w:tcPr>
          <w:p>
            <w:pPr>
              <w:spacing w:after="0" w:before="0"/>
              <w:jc w:val="center"/>
            </w:pPr>
            <w:r>
              <w:rPr>
                <w:rFonts w:ascii="Arial" w:hAnsi="Arial"/>
                <w:b w:val="0"/>
                <w:color w:val="202020"/>
                <w:sz w:val="15"/>
              </w:rPr>
              <w:t>$1.42</w:t>
            </w:r>
          </w:p>
        </w:tc>
        <w:tc>
          <w:tcPr>
            <w:tcW w:type="dxa" w:w="835"/>
            <w:shd w:val="clear" w:fill="F2F5F9"/>
          </w:tcPr>
          <w:p>
            <w:pPr>
              <w:spacing w:after="0" w:before="0"/>
              <w:jc w:val="center"/>
            </w:pPr>
            <w:r>
              <w:rPr>
                <w:rFonts w:ascii="Arial" w:hAnsi="Arial"/>
                <w:b w:val="0"/>
                <w:color w:val="202020"/>
                <w:sz w:val="15"/>
              </w:rPr>
              <w:t>$0.49</w:t>
            </w:r>
          </w:p>
        </w:tc>
        <w:tc>
          <w:tcPr>
            <w:tcW w:type="dxa" w:w="691"/>
            <w:shd w:val="clear" w:fill="F2F5F9"/>
          </w:tcPr>
          <w:p>
            <w:pPr>
              <w:spacing w:after="0" w:before="0"/>
              <w:jc w:val="center"/>
            </w:pPr>
            <w:r>
              <w:rPr>
                <w:rFonts w:ascii="Arial" w:hAnsi="Arial"/>
                <w:b w:val="0"/>
                <w:color w:val="202020"/>
                <w:sz w:val="15"/>
              </w:rPr>
              <w:t>22.1%</w:t>
            </w:r>
          </w:p>
        </w:tc>
        <w:tc>
          <w:tcPr>
            <w:tcW w:type="dxa" w:w="691"/>
            <w:shd w:val="clear" w:fill="F2F5F9"/>
          </w:tcPr>
          <w:p>
            <w:pPr>
              <w:spacing w:after="0" w:before="0"/>
              <w:jc w:val="center"/>
            </w:pPr>
            <w:r>
              <w:rPr>
                <w:rFonts w:ascii="Arial" w:hAnsi="Arial"/>
                <w:b w:val="0"/>
                <w:color w:val="202020"/>
                <w:sz w:val="15"/>
              </w:rPr>
              <w:t>2.40</w:t>
            </w:r>
          </w:p>
        </w:tc>
        <w:tc>
          <w:tcPr>
            <w:tcW w:type="dxa" w:w="490"/>
            <w:shd w:val="clear" w:fill="F2F5F9"/>
          </w:tcPr>
          <w:p>
            <w:pPr>
              <w:spacing w:after="0" w:before="0"/>
              <w:jc w:val="center"/>
            </w:pPr>
            <w:r>
              <w:rPr>
                <w:rFonts w:ascii="Arial" w:hAnsi="Arial"/>
                <w:b w:val="0"/>
                <w:color w:val="202020"/>
                <w:sz w:val="15"/>
              </w:rPr>
              <w:t>5</w:t>
            </w:r>
          </w:p>
        </w:tc>
        <w:tc>
          <w:tcPr>
            <w:tcW w:type="dxa" w:w="1512"/>
            <w:shd w:val="clear" w:fill="F2F5F9"/>
          </w:tcPr>
          <w:p>
            <w:pPr>
              <w:spacing w:after="0" w:before="0"/>
              <w:jc w:val="center"/>
            </w:pPr>
            <w:r>
              <w:rPr>
                <w:rFonts w:ascii="Arial" w:hAnsi="Arial"/>
                <w:b w:val="0"/>
                <w:color w:val="202020"/>
                <w:sz w:val="15"/>
              </w:rPr>
              <w:t>DECLINE — score</w:t>
            </w:r>
          </w:p>
        </w:tc>
      </w:tr>
      <w:tr>
        <w:tc>
          <w:tcPr>
            <w:tcW w:type="dxa" w:w="634"/>
          </w:tcPr>
          <w:p>
            <w:pPr>
              <w:spacing w:after="0" w:before="0"/>
            </w:pPr>
            <w:r>
              <w:rPr>
                <w:rFonts w:ascii="Arial" w:hAnsi="Arial"/>
                <w:b w:val="0"/>
                <w:color w:val="202020"/>
                <w:sz w:val="15"/>
              </w:rPr>
              <w:t>L-07</w:t>
            </w:r>
          </w:p>
        </w:tc>
        <w:tc>
          <w:tcPr>
            <w:tcW w:type="dxa" w:w="3226"/>
          </w:tcPr>
          <w:p>
            <w:pPr>
              <w:spacing w:after="0" w:before="0"/>
            </w:pPr>
            <w:r>
              <w:rPr>
                <w:rFonts w:ascii="Arial" w:hAnsi="Arial"/>
                <w:b w:val="0"/>
                <w:color w:val="202020"/>
                <w:sz w:val="15"/>
              </w:rPr>
              <w:t>Maize KS → Sikeston MO</w:t>
            </w:r>
          </w:p>
        </w:tc>
        <w:tc>
          <w:tcPr>
            <w:tcW w:type="dxa" w:w="907"/>
          </w:tcPr>
          <w:p>
            <w:pPr>
              <w:spacing w:after="0" w:before="0"/>
              <w:jc w:val="center"/>
            </w:pPr>
            <w:r>
              <w:rPr>
                <w:rFonts w:ascii="Arial" w:hAnsi="Arial"/>
                <w:b w:val="0"/>
                <w:color w:val="202020"/>
                <w:sz w:val="15"/>
              </w:rPr>
              <w:t>$2.01</w:t>
            </w:r>
          </w:p>
        </w:tc>
        <w:tc>
          <w:tcPr>
            <w:tcW w:type="dxa" w:w="835"/>
          </w:tcPr>
          <w:p>
            <w:pPr>
              <w:spacing w:after="0" w:before="0"/>
              <w:jc w:val="center"/>
            </w:pPr>
            <w:r>
              <w:rPr>
                <w:rFonts w:ascii="Arial" w:hAnsi="Arial"/>
                <w:b w:val="0"/>
                <w:color w:val="202020"/>
                <w:sz w:val="15"/>
              </w:rPr>
              <w:t>$1.07</w:t>
            </w:r>
          </w:p>
        </w:tc>
        <w:tc>
          <w:tcPr>
            <w:tcW w:type="dxa" w:w="691"/>
          </w:tcPr>
          <w:p>
            <w:pPr>
              <w:spacing w:after="0" w:before="0"/>
              <w:jc w:val="center"/>
            </w:pPr>
            <w:r>
              <w:rPr>
                <w:rFonts w:ascii="Arial" w:hAnsi="Arial"/>
                <w:b w:val="0"/>
                <w:color w:val="202020"/>
                <w:sz w:val="15"/>
              </w:rPr>
              <w:t>20.9%</w:t>
            </w:r>
          </w:p>
        </w:tc>
        <w:tc>
          <w:tcPr>
            <w:tcW w:type="dxa" w:w="691"/>
          </w:tcPr>
          <w:p>
            <w:pPr>
              <w:spacing w:after="0" w:before="0"/>
              <w:jc w:val="center"/>
            </w:pPr>
            <w:r>
              <w:rPr>
                <w:rFonts w:ascii="Arial" w:hAnsi="Arial"/>
                <w:b w:val="0"/>
                <w:color w:val="202020"/>
                <w:sz w:val="15"/>
              </w:rPr>
              <w:t>2.85</w:t>
            </w:r>
          </w:p>
        </w:tc>
        <w:tc>
          <w:tcPr>
            <w:tcW w:type="dxa" w:w="490"/>
          </w:tcPr>
          <w:p>
            <w:pPr>
              <w:spacing w:after="0" w:before="0"/>
              <w:jc w:val="center"/>
            </w:pPr>
            <w:r>
              <w:rPr>
                <w:rFonts w:ascii="Arial" w:hAnsi="Arial"/>
                <w:b w:val="0"/>
                <w:color w:val="202020"/>
                <w:sz w:val="15"/>
              </w:rPr>
              <w:t>9</w:t>
            </w:r>
          </w:p>
        </w:tc>
        <w:tc>
          <w:tcPr>
            <w:tcW w:type="dxa" w:w="1512"/>
          </w:tcPr>
          <w:p>
            <w:pPr>
              <w:spacing w:after="0" w:before="0"/>
              <w:jc w:val="center"/>
            </w:pPr>
            <w:r>
              <w:rPr>
                <w:rFonts w:ascii="Arial" w:hAnsi="Arial"/>
                <w:b w:val="0"/>
                <w:color w:val="202020"/>
                <w:sz w:val="15"/>
              </w:rPr>
              <w:t>DECLINE — score</w:t>
            </w:r>
          </w:p>
        </w:tc>
      </w:tr>
      <w:tr>
        <w:tc>
          <w:tcPr>
            <w:tcW w:type="dxa" w:w="634"/>
            <w:shd w:val="clear" w:fill="F2F5F9"/>
          </w:tcPr>
          <w:p>
            <w:pPr>
              <w:spacing w:after="0" w:before="0"/>
            </w:pPr>
            <w:r>
              <w:rPr>
                <w:rFonts w:ascii="Arial" w:hAnsi="Arial"/>
                <w:b w:val="0"/>
                <w:color w:val="202020"/>
                <w:sz w:val="15"/>
              </w:rPr>
              <w:t>L-08</w:t>
            </w:r>
          </w:p>
        </w:tc>
        <w:tc>
          <w:tcPr>
            <w:tcW w:type="dxa" w:w="3226"/>
            <w:shd w:val="clear" w:fill="F2F5F9"/>
          </w:tcPr>
          <w:p>
            <w:pPr>
              <w:spacing w:after="0" w:before="0"/>
            </w:pPr>
            <w:r>
              <w:rPr>
                <w:rFonts w:ascii="Arial" w:hAnsi="Arial"/>
                <w:b w:val="0"/>
                <w:color w:val="202020"/>
                <w:sz w:val="15"/>
              </w:rPr>
              <w:t>Troy IL → Sulphur LA</w:t>
            </w:r>
          </w:p>
        </w:tc>
        <w:tc>
          <w:tcPr>
            <w:tcW w:type="dxa" w:w="907"/>
            <w:shd w:val="clear" w:fill="F2F5F9"/>
          </w:tcPr>
          <w:p>
            <w:pPr>
              <w:spacing w:after="0" w:before="0"/>
              <w:jc w:val="center"/>
            </w:pPr>
            <w:r>
              <w:rPr>
                <w:rFonts w:ascii="Arial" w:hAnsi="Arial"/>
                <w:b w:val="0"/>
                <w:color w:val="202020"/>
                <w:sz w:val="15"/>
              </w:rPr>
              <w:t>$1.99</w:t>
            </w:r>
          </w:p>
        </w:tc>
        <w:tc>
          <w:tcPr>
            <w:tcW w:type="dxa" w:w="835"/>
            <w:shd w:val="clear" w:fill="F2F5F9"/>
          </w:tcPr>
          <w:p>
            <w:pPr>
              <w:spacing w:after="0" w:before="0"/>
              <w:jc w:val="center"/>
            </w:pPr>
            <w:r>
              <w:rPr>
                <w:rFonts w:ascii="Arial" w:hAnsi="Arial"/>
                <w:b w:val="0"/>
                <w:color w:val="202020"/>
                <w:sz w:val="15"/>
              </w:rPr>
              <w:t>$1.23</w:t>
            </w:r>
          </w:p>
        </w:tc>
        <w:tc>
          <w:tcPr>
            <w:tcW w:type="dxa" w:w="691"/>
            <w:shd w:val="clear" w:fill="F2F5F9"/>
          </w:tcPr>
          <w:p>
            <w:pPr>
              <w:spacing w:after="0" w:before="0"/>
              <w:jc w:val="center"/>
            </w:pPr>
            <w:r>
              <w:rPr>
                <w:rFonts w:ascii="Arial" w:hAnsi="Arial"/>
                <w:b w:val="0"/>
                <w:color w:val="202020"/>
                <w:sz w:val="15"/>
              </w:rPr>
              <w:t>18.2%</w:t>
            </w:r>
          </w:p>
        </w:tc>
        <w:tc>
          <w:tcPr>
            <w:tcW w:type="dxa" w:w="691"/>
            <w:shd w:val="clear" w:fill="F2F5F9"/>
          </w:tcPr>
          <w:p>
            <w:pPr>
              <w:spacing w:after="0" w:before="0"/>
              <w:jc w:val="center"/>
            </w:pPr>
            <w:r>
              <w:rPr>
                <w:rFonts w:ascii="Arial" w:hAnsi="Arial"/>
                <w:b w:val="0"/>
                <w:color w:val="202020"/>
                <w:sz w:val="15"/>
              </w:rPr>
              <w:t>3.60</w:t>
            </w:r>
          </w:p>
        </w:tc>
        <w:tc>
          <w:tcPr>
            <w:tcW w:type="dxa" w:w="490"/>
            <w:shd w:val="clear" w:fill="F2F5F9"/>
          </w:tcPr>
          <w:p>
            <w:pPr>
              <w:spacing w:after="0" w:before="0"/>
              <w:jc w:val="center"/>
            </w:pPr>
            <w:r>
              <w:rPr>
                <w:rFonts w:ascii="Arial" w:hAnsi="Arial"/>
                <w:b w:val="0"/>
                <w:color w:val="202020"/>
                <w:sz w:val="15"/>
              </w:rPr>
              <w:t>10</w:t>
            </w:r>
          </w:p>
        </w:tc>
        <w:tc>
          <w:tcPr>
            <w:tcW w:type="dxa" w:w="1512"/>
            <w:shd w:val="clear" w:fill="F2F5F9"/>
          </w:tcPr>
          <w:p>
            <w:pPr>
              <w:spacing w:after="0" w:before="0"/>
              <w:jc w:val="center"/>
            </w:pPr>
            <w:r>
              <w:rPr>
                <w:rFonts w:ascii="Arial" w:hAnsi="Arial"/>
                <w:b w:val="0"/>
                <w:color w:val="202020"/>
                <w:sz w:val="15"/>
              </w:rPr>
              <w:t>NEGOTIATE</w:t>
            </w:r>
          </w:p>
        </w:tc>
      </w:tr>
      <w:tr>
        <w:tc>
          <w:tcPr>
            <w:tcW w:type="dxa" w:w="634"/>
          </w:tcPr>
          <w:p>
            <w:pPr>
              <w:spacing w:after="0" w:before="0"/>
            </w:pPr>
            <w:r>
              <w:rPr>
                <w:rFonts w:ascii="Arial" w:hAnsi="Arial"/>
                <w:b w:val="0"/>
                <w:color w:val="202020"/>
                <w:sz w:val="15"/>
              </w:rPr>
              <w:t>L-09</w:t>
            </w:r>
          </w:p>
        </w:tc>
        <w:tc>
          <w:tcPr>
            <w:tcW w:type="dxa" w:w="3226"/>
          </w:tcPr>
          <w:p>
            <w:pPr>
              <w:spacing w:after="0" w:before="0"/>
            </w:pPr>
            <w:r>
              <w:rPr>
                <w:rFonts w:ascii="Arial" w:hAnsi="Arial"/>
                <w:b w:val="0"/>
                <w:color w:val="202020"/>
                <w:sz w:val="15"/>
              </w:rPr>
              <w:t>Joyce LA → Elmendorf TX</w:t>
            </w:r>
          </w:p>
        </w:tc>
        <w:tc>
          <w:tcPr>
            <w:tcW w:type="dxa" w:w="907"/>
          </w:tcPr>
          <w:p>
            <w:pPr>
              <w:spacing w:after="0" w:before="0"/>
              <w:jc w:val="center"/>
            </w:pPr>
            <w:r>
              <w:rPr>
                <w:rFonts w:ascii="Arial" w:hAnsi="Arial"/>
                <w:b w:val="0"/>
                <w:color w:val="202020"/>
                <w:sz w:val="15"/>
              </w:rPr>
              <w:t>$2.37</w:t>
            </w:r>
          </w:p>
        </w:tc>
        <w:tc>
          <w:tcPr>
            <w:tcW w:type="dxa" w:w="835"/>
          </w:tcPr>
          <w:p>
            <w:pPr>
              <w:spacing w:after="0" w:before="0"/>
              <w:jc w:val="center"/>
            </w:pPr>
            <w:r>
              <w:rPr>
                <w:rFonts w:ascii="Arial" w:hAnsi="Arial"/>
                <w:b w:val="0"/>
                <w:color w:val="202020"/>
                <w:sz w:val="15"/>
              </w:rPr>
              <w:t>$1.44</w:t>
            </w:r>
          </w:p>
        </w:tc>
        <w:tc>
          <w:tcPr>
            <w:tcW w:type="dxa" w:w="691"/>
          </w:tcPr>
          <w:p>
            <w:pPr>
              <w:spacing w:after="0" w:before="0"/>
              <w:jc w:val="center"/>
            </w:pPr>
            <w:r>
              <w:rPr>
                <w:rFonts w:ascii="Arial" w:hAnsi="Arial"/>
                <w:b w:val="0"/>
                <w:color w:val="202020"/>
                <w:sz w:val="15"/>
              </w:rPr>
              <w:t>27.3%</w:t>
            </w:r>
          </w:p>
        </w:tc>
        <w:tc>
          <w:tcPr>
            <w:tcW w:type="dxa" w:w="691"/>
          </w:tcPr>
          <w:p>
            <w:pPr>
              <w:spacing w:after="0" w:before="0"/>
              <w:jc w:val="center"/>
            </w:pPr>
            <w:r>
              <w:rPr>
                <w:rFonts w:ascii="Arial" w:hAnsi="Arial"/>
                <w:b w:val="0"/>
                <w:color w:val="202020"/>
                <w:sz w:val="15"/>
              </w:rPr>
              <w:t>3.80</w:t>
            </w:r>
          </w:p>
        </w:tc>
        <w:tc>
          <w:tcPr>
            <w:tcW w:type="dxa" w:w="490"/>
          </w:tcPr>
          <w:p>
            <w:pPr>
              <w:spacing w:after="0" w:before="0"/>
              <w:jc w:val="center"/>
            </w:pPr>
            <w:r>
              <w:rPr>
                <w:rFonts w:ascii="Arial" w:hAnsi="Arial"/>
                <w:b w:val="0"/>
                <w:color w:val="202020"/>
                <w:sz w:val="15"/>
              </w:rPr>
              <w:t>8</w:t>
            </w:r>
          </w:p>
        </w:tc>
        <w:tc>
          <w:tcPr>
            <w:tcW w:type="dxa" w:w="1512"/>
          </w:tcPr>
          <w:p>
            <w:pPr>
              <w:spacing w:after="0" w:before="0"/>
              <w:jc w:val="center"/>
            </w:pPr>
            <w:r>
              <w:rPr>
                <w:rFonts w:ascii="Arial" w:hAnsi="Arial"/>
                <w:b w:val="0"/>
                <w:color w:val="202020"/>
                <w:sz w:val="15"/>
              </w:rPr>
              <w:t>ACCEPT</w:t>
            </w:r>
          </w:p>
        </w:tc>
      </w:tr>
      <w:tr>
        <w:tc>
          <w:tcPr>
            <w:tcW w:type="dxa" w:w="634"/>
            <w:shd w:val="clear" w:fill="F2F5F9"/>
          </w:tcPr>
          <w:p>
            <w:pPr>
              <w:spacing w:after="0" w:before="0"/>
            </w:pPr>
            <w:r>
              <w:rPr>
                <w:rFonts w:ascii="Arial" w:hAnsi="Arial"/>
                <w:b w:val="0"/>
                <w:color w:val="202020"/>
                <w:sz w:val="15"/>
              </w:rPr>
              <w:t>L-10</w:t>
            </w:r>
          </w:p>
        </w:tc>
        <w:tc>
          <w:tcPr>
            <w:tcW w:type="dxa" w:w="3226"/>
            <w:shd w:val="clear" w:fill="F2F5F9"/>
          </w:tcPr>
          <w:p>
            <w:pPr>
              <w:spacing w:after="0" w:before="0"/>
            </w:pPr>
            <w:r>
              <w:rPr>
                <w:rFonts w:ascii="Arial" w:hAnsi="Arial"/>
                <w:b w:val="0"/>
                <w:color w:val="202020"/>
                <w:sz w:val="15"/>
              </w:rPr>
              <w:t>Houston TX → Ontario CA</w:t>
            </w:r>
          </w:p>
        </w:tc>
        <w:tc>
          <w:tcPr>
            <w:tcW w:type="dxa" w:w="907"/>
            <w:shd w:val="clear" w:fill="F2F5F9"/>
          </w:tcPr>
          <w:p>
            <w:pPr>
              <w:spacing w:after="0" w:before="0"/>
              <w:jc w:val="center"/>
            </w:pPr>
            <w:r>
              <w:rPr>
                <w:rFonts w:ascii="Arial" w:hAnsi="Arial"/>
                <w:b w:val="0"/>
                <w:color w:val="202020"/>
                <w:sz w:val="15"/>
              </w:rPr>
              <w:t>$2.03</w:t>
            </w:r>
          </w:p>
        </w:tc>
        <w:tc>
          <w:tcPr>
            <w:tcW w:type="dxa" w:w="835"/>
            <w:shd w:val="clear" w:fill="F2F5F9"/>
          </w:tcPr>
          <w:p>
            <w:pPr>
              <w:spacing w:after="0" w:before="0"/>
              <w:jc w:val="center"/>
            </w:pPr>
            <w:r>
              <w:rPr>
                <w:rFonts w:ascii="Arial" w:hAnsi="Arial"/>
                <w:b w:val="0"/>
                <w:color w:val="202020"/>
                <w:sz w:val="15"/>
              </w:rPr>
              <w:t>$1.10</w:t>
            </w:r>
          </w:p>
        </w:tc>
        <w:tc>
          <w:tcPr>
            <w:tcW w:type="dxa" w:w="691"/>
            <w:shd w:val="clear" w:fill="F2F5F9"/>
          </w:tcPr>
          <w:p>
            <w:pPr>
              <w:spacing w:after="0" w:before="0"/>
              <w:jc w:val="center"/>
            </w:pPr>
            <w:r>
              <w:rPr>
                <w:rFonts w:ascii="Arial" w:hAnsi="Arial"/>
                <w:b w:val="0"/>
                <w:color w:val="202020"/>
                <w:sz w:val="15"/>
              </w:rPr>
              <w:t>12.0%</w:t>
            </w:r>
          </w:p>
        </w:tc>
        <w:tc>
          <w:tcPr>
            <w:tcW w:type="dxa" w:w="691"/>
            <w:shd w:val="clear" w:fill="F2F5F9"/>
          </w:tcPr>
          <w:p>
            <w:pPr>
              <w:spacing w:after="0" w:before="0"/>
              <w:jc w:val="center"/>
            </w:pPr>
            <w:r>
              <w:rPr>
                <w:rFonts w:ascii="Arial" w:hAnsi="Arial"/>
                <w:b w:val="0"/>
                <w:color w:val="202020"/>
                <w:sz w:val="15"/>
              </w:rPr>
              <w:t>2.75</w:t>
            </w:r>
          </w:p>
        </w:tc>
        <w:tc>
          <w:tcPr>
            <w:tcW w:type="dxa" w:w="490"/>
            <w:shd w:val="clear" w:fill="F2F5F9"/>
          </w:tcPr>
          <w:p>
            <w:pPr>
              <w:spacing w:after="0" w:before="0"/>
              <w:jc w:val="center"/>
            </w:pPr>
            <w:r>
              <w:rPr>
                <w:rFonts w:ascii="Arial" w:hAnsi="Arial"/>
                <w:b w:val="0"/>
                <w:color w:val="202020"/>
                <w:sz w:val="15"/>
              </w:rPr>
              <w:t>7</w:t>
            </w:r>
          </w:p>
        </w:tc>
        <w:tc>
          <w:tcPr>
            <w:tcW w:type="dxa" w:w="1512"/>
            <w:shd w:val="clear" w:fill="F2F5F9"/>
          </w:tcPr>
          <w:p>
            <w:pPr>
              <w:spacing w:after="0" w:before="0"/>
              <w:jc w:val="center"/>
            </w:pPr>
            <w:r>
              <w:rPr>
                <w:rFonts w:ascii="Arial" w:hAnsi="Arial"/>
                <w:b w:val="0"/>
                <w:color w:val="202020"/>
                <w:sz w:val="15"/>
              </w:rPr>
              <w:t>DECLINE — score</w:t>
            </w:r>
          </w:p>
        </w:tc>
      </w:tr>
      <w:tr>
        <w:tc>
          <w:tcPr>
            <w:tcW w:type="dxa" w:w="634"/>
          </w:tcPr>
          <w:p>
            <w:pPr>
              <w:spacing w:after="0" w:before="0"/>
            </w:pPr>
            <w:r>
              <w:rPr>
                <w:rFonts w:ascii="Arial" w:hAnsi="Arial"/>
                <w:b w:val="0"/>
                <w:color w:val="202020"/>
                <w:sz w:val="15"/>
              </w:rPr>
              <w:t>L-11</w:t>
            </w:r>
          </w:p>
        </w:tc>
        <w:tc>
          <w:tcPr>
            <w:tcW w:type="dxa" w:w="3226"/>
          </w:tcPr>
          <w:p>
            <w:pPr>
              <w:spacing w:after="0" w:before="0"/>
            </w:pPr>
            <w:r>
              <w:rPr>
                <w:rFonts w:ascii="Arial" w:hAnsi="Arial"/>
                <w:b w:val="0"/>
                <w:color w:val="202020"/>
                <w:sz w:val="15"/>
              </w:rPr>
              <w:t>Visalia CA → Roseburg OR</w:t>
            </w:r>
          </w:p>
        </w:tc>
        <w:tc>
          <w:tcPr>
            <w:tcW w:type="dxa" w:w="907"/>
          </w:tcPr>
          <w:p>
            <w:pPr>
              <w:spacing w:after="0" w:before="0"/>
              <w:jc w:val="center"/>
            </w:pPr>
            <w:r>
              <w:rPr>
                <w:rFonts w:ascii="Arial" w:hAnsi="Arial"/>
                <w:b w:val="0"/>
                <w:color w:val="202020"/>
                <w:sz w:val="15"/>
              </w:rPr>
              <w:t>$1.80</w:t>
            </w:r>
          </w:p>
        </w:tc>
        <w:tc>
          <w:tcPr>
            <w:tcW w:type="dxa" w:w="835"/>
          </w:tcPr>
          <w:p>
            <w:pPr>
              <w:spacing w:after="0" w:before="0"/>
              <w:jc w:val="center"/>
            </w:pPr>
            <w:r>
              <w:rPr>
                <w:rFonts w:ascii="Arial" w:hAnsi="Arial"/>
                <w:b w:val="0"/>
                <w:color w:val="202020"/>
                <w:sz w:val="15"/>
              </w:rPr>
              <w:t>$1.04</w:t>
            </w:r>
          </w:p>
        </w:tc>
        <w:tc>
          <w:tcPr>
            <w:tcW w:type="dxa" w:w="691"/>
          </w:tcPr>
          <w:p>
            <w:pPr>
              <w:spacing w:after="0" w:before="0"/>
              <w:jc w:val="center"/>
            </w:pPr>
            <w:r>
              <w:rPr>
                <w:rFonts w:ascii="Arial" w:hAnsi="Arial"/>
                <w:b w:val="0"/>
                <w:color w:val="202020"/>
                <w:sz w:val="15"/>
              </w:rPr>
              <w:t>26.3%</w:t>
            </w:r>
          </w:p>
        </w:tc>
        <w:tc>
          <w:tcPr>
            <w:tcW w:type="dxa" w:w="691"/>
          </w:tcPr>
          <w:p>
            <w:pPr>
              <w:spacing w:after="0" w:before="0"/>
              <w:jc w:val="center"/>
            </w:pPr>
            <w:r>
              <w:rPr>
                <w:rFonts w:ascii="Arial" w:hAnsi="Arial"/>
                <w:b w:val="0"/>
                <w:color w:val="202020"/>
                <w:sz w:val="15"/>
              </w:rPr>
              <w:t>2.35</w:t>
            </w:r>
          </w:p>
        </w:tc>
        <w:tc>
          <w:tcPr>
            <w:tcW w:type="dxa" w:w="490"/>
          </w:tcPr>
          <w:p>
            <w:pPr>
              <w:spacing w:after="0" w:before="0"/>
              <w:jc w:val="center"/>
            </w:pPr>
            <w:r>
              <w:rPr>
                <w:rFonts w:ascii="Arial" w:hAnsi="Arial"/>
                <w:b w:val="0"/>
                <w:color w:val="202020"/>
                <w:sz w:val="15"/>
              </w:rPr>
              <w:t>8</w:t>
            </w:r>
          </w:p>
        </w:tc>
        <w:tc>
          <w:tcPr>
            <w:tcW w:type="dxa" w:w="1512"/>
          </w:tcPr>
          <w:p>
            <w:pPr>
              <w:spacing w:after="0" w:before="0"/>
              <w:jc w:val="center"/>
            </w:pPr>
            <w:r>
              <w:rPr>
                <w:rFonts w:ascii="Arial" w:hAnsi="Arial"/>
                <w:b w:val="0"/>
                <w:color w:val="202020"/>
                <w:sz w:val="15"/>
              </w:rPr>
              <w:t>DECLINE — score</w:t>
            </w:r>
          </w:p>
        </w:tc>
      </w:tr>
      <w:tr>
        <w:tc>
          <w:tcPr>
            <w:tcW w:type="dxa" w:w="634"/>
            <w:shd w:val="clear" w:fill="F2F5F9"/>
          </w:tcPr>
          <w:p>
            <w:pPr>
              <w:spacing w:after="0" w:before="0"/>
            </w:pPr>
            <w:r>
              <w:rPr>
                <w:rFonts w:ascii="Arial" w:hAnsi="Arial"/>
                <w:b w:val="0"/>
                <w:color w:val="202020"/>
                <w:sz w:val="15"/>
              </w:rPr>
              <w:t>L-12</w:t>
            </w:r>
          </w:p>
        </w:tc>
        <w:tc>
          <w:tcPr>
            <w:tcW w:type="dxa" w:w="3226"/>
            <w:shd w:val="clear" w:fill="F2F5F9"/>
          </w:tcPr>
          <w:p>
            <w:pPr>
              <w:spacing w:after="0" w:before="0"/>
            </w:pPr>
            <w:r>
              <w:rPr>
                <w:rFonts w:ascii="Arial" w:hAnsi="Arial"/>
                <w:b w:val="0"/>
                <w:color w:val="202020"/>
                <w:sz w:val="15"/>
              </w:rPr>
              <w:t>Riddle OR → Midlothian TX</w:t>
            </w:r>
          </w:p>
        </w:tc>
        <w:tc>
          <w:tcPr>
            <w:tcW w:type="dxa" w:w="907"/>
            <w:shd w:val="clear" w:fill="F2F5F9"/>
          </w:tcPr>
          <w:p>
            <w:pPr>
              <w:spacing w:after="0" w:before="0"/>
              <w:jc w:val="center"/>
            </w:pPr>
            <w:r>
              <w:rPr>
                <w:rFonts w:ascii="Arial" w:hAnsi="Arial"/>
                <w:b w:val="0"/>
                <w:color w:val="202020"/>
                <w:sz w:val="15"/>
              </w:rPr>
              <w:t>$2.00</w:t>
            </w:r>
          </w:p>
        </w:tc>
        <w:tc>
          <w:tcPr>
            <w:tcW w:type="dxa" w:w="835"/>
            <w:shd w:val="clear" w:fill="F2F5F9"/>
          </w:tcPr>
          <w:p>
            <w:pPr>
              <w:spacing w:after="0" w:before="0"/>
              <w:jc w:val="center"/>
            </w:pPr>
            <w:r>
              <w:rPr>
                <w:rFonts w:ascii="Arial" w:hAnsi="Arial"/>
                <w:b w:val="0"/>
                <w:color w:val="202020"/>
                <w:sz w:val="15"/>
              </w:rPr>
              <w:t>$1.06</w:t>
            </w:r>
          </w:p>
        </w:tc>
        <w:tc>
          <w:tcPr>
            <w:tcW w:type="dxa" w:w="691"/>
            <w:shd w:val="clear" w:fill="F2F5F9"/>
          </w:tcPr>
          <w:p>
            <w:pPr>
              <w:spacing w:after="0" w:before="0"/>
              <w:jc w:val="center"/>
            </w:pPr>
            <w:r>
              <w:rPr>
                <w:rFonts w:ascii="Arial" w:hAnsi="Arial"/>
                <w:b w:val="0"/>
                <w:color w:val="202020"/>
                <w:sz w:val="15"/>
              </w:rPr>
              <w:t>1.1%</w:t>
            </w:r>
          </w:p>
        </w:tc>
        <w:tc>
          <w:tcPr>
            <w:tcW w:type="dxa" w:w="691"/>
            <w:shd w:val="clear" w:fill="F2F5F9"/>
          </w:tcPr>
          <w:p>
            <w:pPr>
              <w:spacing w:after="0" w:before="0"/>
              <w:jc w:val="center"/>
            </w:pPr>
            <w:r>
              <w:rPr>
                <w:rFonts w:ascii="Arial" w:hAnsi="Arial"/>
                <w:b w:val="0"/>
                <w:color w:val="202020"/>
                <w:sz w:val="15"/>
              </w:rPr>
              <w:t>3.15</w:t>
            </w:r>
          </w:p>
        </w:tc>
        <w:tc>
          <w:tcPr>
            <w:tcW w:type="dxa" w:w="490"/>
            <w:shd w:val="clear" w:fill="F2F5F9"/>
          </w:tcPr>
          <w:p>
            <w:pPr>
              <w:spacing w:after="0" w:before="0"/>
              <w:jc w:val="center"/>
            </w:pPr>
            <w:r>
              <w:rPr>
                <w:rFonts w:ascii="Arial" w:hAnsi="Arial"/>
                <w:b w:val="0"/>
                <w:color w:val="202020"/>
                <w:sz w:val="15"/>
              </w:rPr>
              <w:t>5</w:t>
            </w:r>
          </w:p>
        </w:tc>
        <w:tc>
          <w:tcPr>
            <w:tcW w:type="dxa" w:w="1512"/>
            <w:shd w:val="clear" w:fill="F2F5F9"/>
          </w:tcPr>
          <w:p>
            <w:pPr>
              <w:spacing w:after="0" w:before="0"/>
              <w:jc w:val="center"/>
            </w:pPr>
            <w:r>
              <w:rPr>
                <w:rFonts w:ascii="Arial" w:hAnsi="Arial"/>
                <w:b w:val="0"/>
                <w:color w:val="202020"/>
                <w:sz w:val="15"/>
              </w:rPr>
              <w:t>NEGOTIATE</w:t>
            </w:r>
          </w:p>
        </w:tc>
      </w:tr>
      <w:tr>
        <w:tc>
          <w:tcPr>
            <w:tcW w:type="dxa" w:w="634"/>
          </w:tcPr>
          <w:p>
            <w:pPr>
              <w:spacing w:after="0" w:before="0"/>
            </w:pPr>
            <w:r>
              <w:rPr>
                <w:rFonts w:ascii="Arial" w:hAnsi="Arial"/>
                <w:b w:val="0"/>
                <w:color w:val="202020"/>
                <w:sz w:val="15"/>
              </w:rPr>
              <w:t>L-13</w:t>
            </w:r>
          </w:p>
        </w:tc>
        <w:tc>
          <w:tcPr>
            <w:tcW w:type="dxa" w:w="3226"/>
          </w:tcPr>
          <w:p>
            <w:pPr>
              <w:spacing w:after="0" w:before="0"/>
            </w:pPr>
            <w:r>
              <w:rPr>
                <w:rFonts w:ascii="Arial" w:hAnsi="Arial"/>
                <w:b w:val="0"/>
                <w:color w:val="202020"/>
                <w:sz w:val="15"/>
              </w:rPr>
              <w:t>Terrell TX → Fort Bliss TX</w:t>
            </w:r>
          </w:p>
        </w:tc>
        <w:tc>
          <w:tcPr>
            <w:tcW w:type="dxa" w:w="907"/>
          </w:tcPr>
          <w:p>
            <w:pPr>
              <w:spacing w:after="0" w:before="0"/>
              <w:jc w:val="center"/>
            </w:pPr>
            <w:r>
              <w:rPr>
                <w:rFonts w:ascii="Arial" w:hAnsi="Arial"/>
                <w:b w:val="0"/>
                <w:color w:val="202020"/>
                <w:sz w:val="15"/>
              </w:rPr>
              <w:t>$2.93</w:t>
            </w:r>
          </w:p>
        </w:tc>
        <w:tc>
          <w:tcPr>
            <w:tcW w:type="dxa" w:w="835"/>
          </w:tcPr>
          <w:p>
            <w:pPr>
              <w:spacing w:after="0" w:before="0"/>
              <w:jc w:val="center"/>
            </w:pPr>
            <w:r>
              <w:rPr>
                <w:rFonts w:ascii="Arial" w:hAnsi="Arial"/>
                <w:b w:val="0"/>
                <w:color w:val="202020"/>
                <w:sz w:val="15"/>
              </w:rPr>
              <w:t>$2.00</w:t>
            </w:r>
          </w:p>
        </w:tc>
        <w:tc>
          <w:tcPr>
            <w:tcW w:type="dxa" w:w="691"/>
          </w:tcPr>
          <w:p>
            <w:pPr>
              <w:spacing w:after="0" w:before="0"/>
              <w:jc w:val="center"/>
            </w:pPr>
            <w:r>
              <w:rPr>
                <w:rFonts w:ascii="Arial" w:hAnsi="Arial"/>
                <w:b w:val="0"/>
                <w:color w:val="202020"/>
                <w:sz w:val="15"/>
              </w:rPr>
              <w:t>7.7%</w:t>
            </w:r>
          </w:p>
        </w:tc>
        <w:tc>
          <w:tcPr>
            <w:tcW w:type="dxa" w:w="691"/>
          </w:tcPr>
          <w:p>
            <w:pPr>
              <w:spacing w:after="0" w:before="0"/>
              <w:jc w:val="center"/>
            </w:pPr>
            <w:r>
              <w:rPr>
                <w:rFonts w:ascii="Arial" w:hAnsi="Arial"/>
                <w:b w:val="0"/>
                <w:color w:val="202020"/>
                <w:sz w:val="15"/>
              </w:rPr>
              <w:t>4.65</w:t>
            </w:r>
          </w:p>
        </w:tc>
        <w:tc>
          <w:tcPr>
            <w:tcW w:type="dxa" w:w="490"/>
          </w:tcPr>
          <w:p>
            <w:pPr>
              <w:spacing w:after="0" w:before="0"/>
              <w:jc w:val="center"/>
            </w:pPr>
            <w:r>
              <w:rPr>
                <w:rFonts w:ascii="Arial" w:hAnsi="Arial"/>
                <w:b w:val="0"/>
                <w:color w:val="202020"/>
                <w:sz w:val="15"/>
              </w:rPr>
              <w:t>10</w:t>
            </w:r>
          </w:p>
        </w:tc>
        <w:tc>
          <w:tcPr>
            <w:tcW w:type="dxa" w:w="1512"/>
          </w:tcPr>
          <w:p>
            <w:pPr>
              <w:spacing w:after="0" w:before="0"/>
              <w:jc w:val="center"/>
            </w:pPr>
            <w:r>
              <w:rPr>
                <w:rFonts w:ascii="Arial" w:hAnsi="Arial"/>
                <w:b w:val="0"/>
                <w:color w:val="202020"/>
                <w:sz w:val="15"/>
              </w:rPr>
              <w:t>ACCEPT</w:t>
            </w:r>
          </w:p>
        </w:tc>
      </w:tr>
      <w:tr>
        <w:tc>
          <w:tcPr>
            <w:tcW w:type="dxa" w:w="634"/>
            <w:shd w:val="clear" w:fill="F2F5F9"/>
          </w:tcPr>
          <w:p>
            <w:pPr>
              <w:spacing w:after="0" w:before="0"/>
            </w:pPr>
            <w:r>
              <w:rPr>
                <w:rFonts w:ascii="Arial" w:hAnsi="Arial"/>
                <w:b w:val="0"/>
                <w:color w:val="202020"/>
                <w:sz w:val="15"/>
              </w:rPr>
              <w:t>L-14</w:t>
            </w:r>
          </w:p>
        </w:tc>
        <w:tc>
          <w:tcPr>
            <w:tcW w:type="dxa" w:w="3226"/>
            <w:shd w:val="clear" w:fill="F2F5F9"/>
          </w:tcPr>
          <w:p>
            <w:pPr>
              <w:spacing w:after="0" w:before="0"/>
            </w:pPr>
            <w:r>
              <w:rPr>
                <w:rFonts w:ascii="Arial" w:hAnsi="Arial"/>
                <w:b w:val="0"/>
                <w:color w:val="202020"/>
                <w:sz w:val="15"/>
              </w:rPr>
              <w:t>Socorro TX → Apollo Beach FL</w:t>
            </w:r>
          </w:p>
        </w:tc>
        <w:tc>
          <w:tcPr>
            <w:tcW w:type="dxa" w:w="907"/>
            <w:shd w:val="clear" w:fill="F2F5F9"/>
          </w:tcPr>
          <w:p>
            <w:pPr>
              <w:spacing w:after="0" w:before="0"/>
              <w:jc w:val="center"/>
            </w:pPr>
            <w:r>
              <w:rPr>
                <w:rFonts w:ascii="Arial" w:hAnsi="Arial"/>
                <w:b w:val="0"/>
                <w:color w:val="202020"/>
                <w:sz w:val="15"/>
              </w:rPr>
              <w:t>$1.89</w:t>
            </w:r>
          </w:p>
        </w:tc>
        <w:tc>
          <w:tcPr>
            <w:tcW w:type="dxa" w:w="835"/>
            <w:shd w:val="clear" w:fill="F2F5F9"/>
          </w:tcPr>
          <w:p>
            <w:pPr>
              <w:spacing w:after="0" w:before="0"/>
              <w:jc w:val="center"/>
            </w:pPr>
            <w:r>
              <w:rPr>
                <w:rFonts w:ascii="Arial" w:hAnsi="Arial"/>
                <w:b w:val="0"/>
                <w:color w:val="202020"/>
                <w:sz w:val="15"/>
              </w:rPr>
              <w:t>$0.96</w:t>
            </w:r>
          </w:p>
        </w:tc>
        <w:tc>
          <w:tcPr>
            <w:tcW w:type="dxa" w:w="691"/>
            <w:shd w:val="clear" w:fill="F2F5F9"/>
          </w:tcPr>
          <w:p>
            <w:pPr>
              <w:spacing w:after="0" w:before="0"/>
              <w:jc w:val="center"/>
            </w:pPr>
            <w:r>
              <w:rPr>
                <w:rFonts w:ascii="Arial" w:hAnsi="Arial"/>
                <w:b w:val="0"/>
                <w:color w:val="202020"/>
                <w:sz w:val="15"/>
              </w:rPr>
              <w:t>1.0%</w:t>
            </w:r>
          </w:p>
        </w:tc>
        <w:tc>
          <w:tcPr>
            <w:tcW w:type="dxa" w:w="691"/>
            <w:shd w:val="clear" w:fill="F2F5F9"/>
          </w:tcPr>
          <w:p>
            <w:pPr>
              <w:spacing w:after="0" w:before="0"/>
              <w:jc w:val="center"/>
            </w:pPr>
            <w:r>
              <w:rPr>
                <w:rFonts w:ascii="Arial" w:hAnsi="Arial"/>
                <w:b w:val="0"/>
                <w:color w:val="202020"/>
                <w:sz w:val="15"/>
              </w:rPr>
              <w:t>3.10</w:t>
            </w:r>
          </w:p>
        </w:tc>
        <w:tc>
          <w:tcPr>
            <w:tcW w:type="dxa" w:w="490"/>
            <w:shd w:val="clear" w:fill="F2F5F9"/>
          </w:tcPr>
          <w:p>
            <w:pPr>
              <w:spacing w:after="0" w:before="0"/>
              <w:jc w:val="center"/>
            </w:pPr>
            <w:r>
              <w:rPr>
                <w:rFonts w:ascii="Arial" w:hAnsi="Arial"/>
                <w:b w:val="0"/>
                <w:color w:val="202020"/>
                <w:sz w:val="15"/>
              </w:rPr>
              <w:t>10</w:t>
            </w:r>
          </w:p>
        </w:tc>
        <w:tc>
          <w:tcPr>
            <w:tcW w:type="dxa" w:w="1512"/>
            <w:shd w:val="clear" w:fill="F2F5F9"/>
          </w:tcPr>
          <w:p>
            <w:pPr>
              <w:spacing w:after="0" w:before="0"/>
              <w:jc w:val="center"/>
            </w:pPr>
            <w:r>
              <w:rPr>
                <w:rFonts w:ascii="Arial" w:hAnsi="Arial"/>
                <w:b w:val="0"/>
                <w:color w:val="202020"/>
                <w:sz w:val="15"/>
              </w:rPr>
              <w:t>NEGOTIATE</w:t>
            </w:r>
          </w:p>
        </w:tc>
      </w:tr>
      <w:tr>
        <w:tc>
          <w:tcPr>
            <w:tcW w:type="dxa" w:w="634"/>
          </w:tcPr>
          <w:p>
            <w:pPr>
              <w:spacing w:after="0" w:before="0"/>
            </w:pPr>
            <w:r>
              <w:rPr>
                <w:rFonts w:ascii="Arial" w:hAnsi="Arial"/>
                <w:b w:val="0"/>
                <w:color w:val="202020"/>
                <w:sz w:val="15"/>
              </w:rPr>
              <w:t>L-15</w:t>
            </w:r>
          </w:p>
        </w:tc>
        <w:tc>
          <w:tcPr>
            <w:tcW w:type="dxa" w:w="3226"/>
          </w:tcPr>
          <w:p>
            <w:pPr>
              <w:spacing w:after="0" w:before="0"/>
            </w:pPr>
            <w:r>
              <w:rPr>
                <w:rFonts w:ascii="Arial" w:hAnsi="Arial"/>
                <w:b w:val="0"/>
                <w:color w:val="202020"/>
                <w:sz w:val="15"/>
              </w:rPr>
              <w:t>Lake City FL → Charlottesville VA</w:t>
            </w:r>
          </w:p>
        </w:tc>
        <w:tc>
          <w:tcPr>
            <w:tcW w:type="dxa" w:w="907"/>
          </w:tcPr>
          <w:p>
            <w:pPr>
              <w:spacing w:after="0" w:before="0"/>
              <w:jc w:val="center"/>
            </w:pPr>
            <w:r>
              <w:rPr>
                <w:rFonts w:ascii="Arial" w:hAnsi="Arial"/>
                <w:b w:val="0"/>
                <w:color w:val="202020"/>
                <w:sz w:val="15"/>
              </w:rPr>
              <w:t>$2.29</w:t>
            </w:r>
          </w:p>
        </w:tc>
        <w:tc>
          <w:tcPr>
            <w:tcW w:type="dxa" w:w="835"/>
          </w:tcPr>
          <w:p>
            <w:pPr>
              <w:spacing w:after="0" w:before="0"/>
              <w:jc w:val="center"/>
            </w:pPr>
            <w:r>
              <w:rPr>
                <w:rFonts w:ascii="Arial" w:hAnsi="Arial"/>
                <w:b w:val="0"/>
                <w:color w:val="202020"/>
                <w:sz w:val="15"/>
              </w:rPr>
              <w:t>$1.53</w:t>
            </w:r>
          </w:p>
        </w:tc>
        <w:tc>
          <w:tcPr>
            <w:tcW w:type="dxa" w:w="691"/>
          </w:tcPr>
          <w:p>
            <w:pPr>
              <w:spacing w:after="0" w:before="0"/>
              <w:jc w:val="center"/>
            </w:pPr>
            <w:r>
              <w:rPr>
                <w:rFonts w:ascii="Arial" w:hAnsi="Arial"/>
                <w:b w:val="0"/>
                <w:color w:val="202020"/>
                <w:sz w:val="15"/>
              </w:rPr>
              <w:t>21.3%</w:t>
            </w:r>
          </w:p>
        </w:tc>
        <w:tc>
          <w:tcPr>
            <w:tcW w:type="dxa" w:w="691"/>
          </w:tcPr>
          <w:p>
            <w:pPr>
              <w:spacing w:after="0" w:before="0"/>
              <w:jc w:val="center"/>
            </w:pPr>
            <w:r>
              <w:rPr>
                <w:rFonts w:ascii="Arial" w:hAnsi="Arial"/>
                <w:b w:val="0"/>
                <w:color w:val="202020"/>
                <w:sz w:val="15"/>
              </w:rPr>
              <w:t>3.00</w:t>
            </w:r>
          </w:p>
        </w:tc>
        <w:tc>
          <w:tcPr>
            <w:tcW w:type="dxa" w:w="490"/>
          </w:tcPr>
          <w:p>
            <w:pPr>
              <w:spacing w:after="0" w:before="0"/>
              <w:jc w:val="center"/>
            </w:pPr>
            <w:r>
              <w:rPr>
                <w:rFonts w:ascii="Arial" w:hAnsi="Arial"/>
                <w:b w:val="0"/>
                <w:color w:val="202020"/>
                <w:sz w:val="15"/>
              </w:rPr>
              <w:t>9</w:t>
            </w:r>
          </w:p>
        </w:tc>
        <w:tc>
          <w:tcPr>
            <w:tcW w:type="dxa" w:w="1512"/>
          </w:tcPr>
          <w:p>
            <w:pPr>
              <w:spacing w:after="0" w:before="0"/>
              <w:jc w:val="center"/>
            </w:pPr>
            <w:r>
              <w:rPr>
                <w:rFonts w:ascii="Arial" w:hAnsi="Arial"/>
                <w:b w:val="0"/>
                <w:color w:val="202020"/>
                <w:sz w:val="15"/>
              </w:rPr>
              <w:t>NEGOTIATE</w:t>
            </w:r>
          </w:p>
        </w:tc>
      </w:tr>
      <w:tr>
        <w:tc>
          <w:tcPr>
            <w:tcW w:type="dxa" w:w="634"/>
            <w:shd w:val="clear" w:fill="F2F5F9"/>
          </w:tcPr>
          <w:p>
            <w:pPr>
              <w:spacing w:after="0" w:before="0"/>
            </w:pPr>
            <w:r>
              <w:rPr>
                <w:rFonts w:ascii="Arial" w:hAnsi="Arial"/>
                <w:b w:val="0"/>
                <w:color w:val="202020"/>
                <w:sz w:val="15"/>
              </w:rPr>
              <w:t>L-16</w:t>
            </w:r>
          </w:p>
        </w:tc>
        <w:tc>
          <w:tcPr>
            <w:tcW w:type="dxa" w:w="3226"/>
            <w:shd w:val="clear" w:fill="F2F5F9"/>
          </w:tcPr>
          <w:p>
            <w:pPr>
              <w:spacing w:after="0" w:before="0"/>
            </w:pPr>
            <w:r>
              <w:rPr>
                <w:rFonts w:ascii="Arial" w:hAnsi="Arial"/>
                <w:b w:val="0"/>
                <w:color w:val="202020"/>
                <w:sz w:val="15"/>
              </w:rPr>
              <w:t>Winchester VA → Pittston PA</w:t>
            </w:r>
          </w:p>
        </w:tc>
        <w:tc>
          <w:tcPr>
            <w:tcW w:type="dxa" w:w="907"/>
            <w:shd w:val="clear" w:fill="F2F5F9"/>
          </w:tcPr>
          <w:p>
            <w:pPr>
              <w:spacing w:after="0" w:before="0"/>
              <w:jc w:val="center"/>
            </w:pPr>
            <w:r>
              <w:rPr>
                <w:rFonts w:ascii="Arial" w:hAnsi="Arial"/>
                <w:b w:val="0"/>
                <w:color w:val="202020"/>
                <w:sz w:val="15"/>
              </w:rPr>
              <w:t>$2.94</w:t>
            </w:r>
          </w:p>
        </w:tc>
        <w:tc>
          <w:tcPr>
            <w:tcW w:type="dxa" w:w="835"/>
            <w:shd w:val="clear" w:fill="F2F5F9"/>
          </w:tcPr>
          <w:p>
            <w:pPr>
              <w:spacing w:after="0" w:before="0"/>
              <w:jc w:val="center"/>
            </w:pPr>
            <w:r>
              <w:rPr>
                <w:rFonts w:ascii="Arial" w:hAnsi="Arial"/>
                <w:b w:val="0"/>
                <w:color w:val="202020"/>
                <w:sz w:val="15"/>
              </w:rPr>
              <w:t>$2.18</w:t>
            </w:r>
          </w:p>
        </w:tc>
        <w:tc>
          <w:tcPr>
            <w:tcW w:type="dxa" w:w="691"/>
            <w:shd w:val="clear" w:fill="F2F5F9"/>
          </w:tcPr>
          <w:p>
            <w:pPr>
              <w:spacing w:after="0" w:before="0"/>
              <w:jc w:val="center"/>
            </w:pPr>
            <w:r>
              <w:rPr>
                <w:rFonts w:ascii="Arial" w:hAnsi="Arial"/>
                <w:b w:val="0"/>
                <w:color w:val="202020"/>
                <w:sz w:val="15"/>
              </w:rPr>
              <w:t>31.2%</w:t>
            </w:r>
          </w:p>
        </w:tc>
        <w:tc>
          <w:tcPr>
            <w:tcW w:type="dxa" w:w="691"/>
            <w:shd w:val="clear" w:fill="F2F5F9"/>
          </w:tcPr>
          <w:p>
            <w:pPr>
              <w:spacing w:after="0" w:before="0"/>
              <w:jc w:val="center"/>
            </w:pPr>
            <w:r>
              <w:rPr>
                <w:rFonts w:ascii="Arial" w:hAnsi="Arial"/>
                <w:b w:val="0"/>
                <w:color w:val="202020"/>
                <w:sz w:val="15"/>
              </w:rPr>
              <w:t>4.50</w:t>
            </w:r>
          </w:p>
        </w:tc>
        <w:tc>
          <w:tcPr>
            <w:tcW w:type="dxa" w:w="490"/>
            <w:shd w:val="clear" w:fill="F2F5F9"/>
          </w:tcPr>
          <w:p>
            <w:pPr>
              <w:spacing w:after="0" w:before="0"/>
              <w:jc w:val="center"/>
            </w:pPr>
            <w:r>
              <w:rPr>
                <w:rFonts w:ascii="Arial" w:hAnsi="Arial"/>
                <w:b w:val="0"/>
                <w:color w:val="202020"/>
                <w:sz w:val="15"/>
              </w:rPr>
              <w:t>10</w:t>
            </w:r>
          </w:p>
        </w:tc>
        <w:tc>
          <w:tcPr>
            <w:tcW w:type="dxa" w:w="1512"/>
            <w:shd w:val="clear" w:fill="F2F5F9"/>
          </w:tcPr>
          <w:p>
            <w:pPr>
              <w:spacing w:after="0" w:before="0"/>
              <w:jc w:val="center"/>
            </w:pPr>
            <w:r>
              <w:rPr>
                <w:rFonts w:ascii="Arial" w:hAnsi="Arial"/>
                <w:b w:val="0"/>
                <w:color w:val="202020"/>
                <w:sz w:val="15"/>
              </w:rPr>
              <w:t>ACCEPT</w:t>
            </w:r>
          </w:p>
        </w:tc>
      </w:tr>
      <w:tr>
        <w:tc>
          <w:tcPr>
            <w:tcW w:type="dxa" w:w="634"/>
          </w:tcPr>
          <w:p>
            <w:pPr>
              <w:spacing w:after="0" w:before="0"/>
            </w:pPr>
            <w:r>
              <w:rPr>
                <w:rFonts w:ascii="Arial" w:hAnsi="Arial"/>
                <w:b w:val="0"/>
                <w:color w:val="202020"/>
                <w:sz w:val="15"/>
              </w:rPr>
              <w:t>L-17</w:t>
            </w:r>
          </w:p>
        </w:tc>
        <w:tc>
          <w:tcPr>
            <w:tcW w:type="dxa" w:w="3226"/>
          </w:tcPr>
          <w:p>
            <w:pPr>
              <w:spacing w:after="0" w:before="0"/>
            </w:pPr>
            <w:r>
              <w:rPr>
                <w:rFonts w:ascii="Arial" w:hAnsi="Arial"/>
                <w:b w:val="0"/>
                <w:color w:val="202020"/>
                <w:sz w:val="15"/>
              </w:rPr>
              <w:t>Reading PA → Springfield MO</w:t>
            </w:r>
          </w:p>
        </w:tc>
        <w:tc>
          <w:tcPr>
            <w:tcW w:type="dxa" w:w="907"/>
          </w:tcPr>
          <w:p>
            <w:pPr>
              <w:spacing w:after="0" w:before="0"/>
              <w:jc w:val="center"/>
            </w:pPr>
            <w:r>
              <w:rPr>
                <w:rFonts w:ascii="Arial" w:hAnsi="Arial"/>
                <w:b w:val="0"/>
                <w:color w:val="202020"/>
                <w:sz w:val="15"/>
              </w:rPr>
              <w:t>$1.89</w:t>
            </w:r>
          </w:p>
        </w:tc>
        <w:tc>
          <w:tcPr>
            <w:tcW w:type="dxa" w:w="835"/>
          </w:tcPr>
          <w:p>
            <w:pPr>
              <w:spacing w:after="0" w:before="0"/>
              <w:jc w:val="center"/>
            </w:pPr>
            <w:r>
              <w:rPr>
                <w:rFonts w:ascii="Arial" w:hAnsi="Arial"/>
                <w:b w:val="0"/>
                <w:color w:val="202020"/>
                <w:sz w:val="15"/>
              </w:rPr>
              <w:t>$1.06</w:t>
            </w:r>
          </w:p>
        </w:tc>
        <w:tc>
          <w:tcPr>
            <w:tcW w:type="dxa" w:w="691"/>
          </w:tcPr>
          <w:p>
            <w:pPr>
              <w:spacing w:after="0" w:before="0"/>
              <w:jc w:val="center"/>
            </w:pPr>
            <w:r>
              <w:rPr>
                <w:rFonts w:ascii="Arial" w:hAnsi="Arial"/>
                <w:b w:val="0"/>
                <w:color w:val="202020"/>
                <w:sz w:val="15"/>
              </w:rPr>
              <w:t>7.7%</w:t>
            </w:r>
          </w:p>
        </w:tc>
        <w:tc>
          <w:tcPr>
            <w:tcW w:type="dxa" w:w="691"/>
          </w:tcPr>
          <w:p>
            <w:pPr>
              <w:spacing w:after="0" w:before="0"/>
              <w:jc w:val="center"/>
            </w:pPr>
            <w:r>
              <w:rPr>
                <w:rFonts w:ascii="Arial" w:hAnsi="Arial"/>
                <w:b w:val="0"/>
                <w:color w:val="202020"/>
                <w:sz w:val="15"/>
              </w:rPr>
              <w:t>3.55</w:t>
            </w:r>
          </w:p>
        </w:tc>
        <w:tc>
          <w:tcPr>
            <w:tcW w:type="dxa" w:w="490"/>
          </w:tcPr>
          <w:p>
            <w:pPr>
              <w:spacing w:after="0" w:before="0"/>
              <w:jc w:val="center"/>
            </w:pPr>
            <w:r>
              <w:rPr>
                <w:rFonts w:ascii="Arial" w:hAnsi="Arial"/>
                <w:b w:val="0"/>
                <w:color w:val="202020"/>
                <w:sz w:val="15"/>
              </w:rPr>
              <w:t>9</w:t>
            </w:r>
          </w:p>
        </w:tc>
        <w:tc>
          <w:tcPr>
            <w:tcW w:type="dxa" w:w="1512"/>
          </w:tcPr>
          <w:p>
            <w:pPr>
              <w:spacing w:after="0" w:before="0"/>
              <w:jc w:val="center"/>
            </w:pPr>
            <w:r>
              <w:rPr>
                <w:rFonts w:ascii="Arial" w:hAnsi="Arial"/>
                <w:b w:val="0"/>
                <w:color w:val="202020"/>
                <w:sz w:val="15"/>
              </w:rPr>
              <w:t>NEGOTIATE</w:t>
            </w:r>
          </w:p>
        </w:tc>
      </w:tr>
      <w:tr>
        <w:tc>
          <w:tcPr>
            <w:tcW w:type="dxa" w:w="634"/>
            <w:shd w:val="clear" w:fill="F2F5F9"/>
          </w:tcPr>
          <w:p>
            <w:pPr>
              <w:spacing w:after="0" w:before="0"/>
            </w:pPr>
            <w:r>
              <w:rPr>
                <w:rFonts w:ascii="Arial" w:hAnsi="Arial"/>
                <w:b w:val="0"/>
                <w:color w:val="202020"/>
                <w:sz w:val="15"/>
              </w:rPr>
              <w:t>L-18</w:t>
            </w:r>
          </w:p>
        </w:tc>
        <w:tc>
          <w:tcPr>
            <w:tcW w:type="dxa" w:w="3226"/>
            <w:shd w:val="clear" w:fill="F2F5F9"/>
          </w:tcPr>
          <w:p>
            <w:pPr>
              <w:spacing w:after="0" w:before="0"/>
            </w:pPr>
            <w:r>
              <w:rPr>
                <w:rFonts w:ascii="Arial" w:hAnsi="Arial"/>
                <w:b w:val="0"/>
                <w:color w:val="202020"/>
                <w:sz w:val="15"/>
              </w:rPr>
              <w:t>Blytheville AR → W Palm Beach FL</w:t>
            </w:r>
          </w:p>
        </w:tc>
        <w:tc>
          <w:tcPr>
            <w:tcW w:type="dxa" w:w="907"/>
            <w:shd w:val="clear" w:fill="F2F5F9"/>
          </w:tcPr>
          <w:p>
            <w:pPr>
              <w:spacing w:after="0" w:before="0"/>
              <w:jc w:val="center"/>
            </w:pPr>
            <w:r>
              <w:rPr>
                <w:rFonts w:ascii="Arial" w:hAnsi="Arial"/>
                <w:b w:val="0"/>
                <w:color w:val="202020"/>
                <w:sz w:val="15"/>
              </w:rPr>
              <w:t>$2.55</w:t>
            </w:r>
          </w:p>
        </w:tc>
        <w:tc>
          <w:tcPr>
            <w:tcW w:type="dxa" w:w="835"/>
            <w:shd w:val="clear" w:fill="F2F5F9"/>
          </w:tcPr>
          <w:p>
            <w:pPr>
              <w:spacing w:after="0" w:before="0"/>
              <w:jc w:val="center"/>
            </w:pPr>
            <w:r>
              <w:rPr>
                <w:rFonts w:ascii="Arial" w:hAnsi="Arial"/>
                <w:b w:val="0"/>
                <w:color w:val="202020"/>
                <w:sz w:val="15"/>
              </w:rPr>
              <w:t>$1.61</w:t>
            </w:r>
          </w:p>
        </w:tc>
        <w:tc>
          <w:tcPr>
            <w:tcW w:type="dxa" w:w="691"/>
            <w:shd w:val="clear" w:fill="F2F5F9"/>
          </w:tcPr>
          <w:p>
            <w:pPr>
              <w:spacing w:after="0" w:before="0"/>
              <w:jc w:val="center"/>
            </w:pPr>
            <w:r>
              <w:rPr>
                <w:rFonts w:ascii="Arial" w:hAnsi="Arial"/>
                <w:b w:val="0"/>
                <w:color w:val="202020"/>
                <w:sz w:val="15"/>
              </w:rPr>
              <w:t>22.9%</w:t>
            </w:r>
          </w:p>
        </w:tc>
        <w:tc>
          <w:tcPr>
            <w:tcW w:type="dxa" w:w="691"/>
            <w:shd w:val="clear" w:fill="F2F5F9"/>
          </w:tcPr>
          <w:p>
            <w:pPr>
              <w:spacing w:after="0" w:before="0"/>
              <w:jc w:val="center"/>
            </w:pPr>
            <w:r>
              <w:rPr>
                <w:rFonts w:ascii="Arial" w:hAnsi="Arial"/>
                <w:b w:val="0"/>
                <w:color w:val="202020"/>
                <w:sz w:val="15"/>
              </w:rPr>
              <w:t>4.05</w:t>
            </w:r>
          </w:p>
        </w:tc>
        <w:tc>
          <w:tcPr>
            <w:tcW w:type="dxa" w:w="490"/>
            <w:shd w:val="clear" w:fill="F2F5F9"/>
          </w:tcPr>
          <w:p>
            <w:pPr>
              <w:spacing w:after="0" w:before="0"/>
              <w:jc w:val="center"/>
            </w:pPr>
            <w:r>
              <w:rPr>
                <w:rFonts w:ascii="Arial" w:hAnsi="Arial"/>
                <w:b w:val="0"/>
                <w:color w:val="202020"/>
                <w:sz w:val="15"/>
              </w:rPr>
              <w:t>9</w:t>
            </w:r>
          </w:p>
        </w:tc>
        <w:tc>
          <w:tcPr>
            <w:tcW w:type="dxa" w:w="1512"/>
            <w:shd w:val="clear" w:fill="F2F5F9"/>
          </w:tcPr>
          <w:p>
            <w:pPr>
              <w:spacing w:after="0" w:before="0"/>
              <w:jc w:val="center"/>
            </w:pPr>
            <w:r>
              <w:rPr>
                <w:rFonts w:ascii="Arial" w:hAnsi="Arial"/>
                <w:b w:val="0"/>
                <w:color w:val="202020"/>
                <w:sz w:val="15"/>
              </w:rPr>
              <w:t>ACCEPT</w:t>
            </w:r>
          </w:p>
        </w:tc>
      </w:tr>
      <w:tr>
        <w:tc>
          <w:tcPr>
            <w:tcW w:type="dxa" w:w="634"/>
            <w:shd w:val="clear" w:fill="E4E9F0"/>
          </w:tcPr>
          <w:p>
            <w:pPr>
              <w:spacing w:after="0" w:before="0"/>
            </w:pPr>
            <w:r>
              <w:rPr>
                <w:rFonts w:ascii="Arial" w:hAnsi="Arial"/>
                <w:b/>
                <w:color w:val="202020"/>
                <w:sz w:val="15"/>
              </w:rPr>
            </w:r>
          </w:p>
        </w:tc>
        <w:tc>
          <w:tcPr>
            <w:tcW w:type="dxa" w:w="3226"/>
            <w:shd w:val="clear" w:fill="E4E9F0"/>
          </w:tcPr>
          <w:p>
            <w:pPr>
              <w:spacing w:after="0" w:before="0"/>
            </w:pPr>
            <w:r>
              <w:rPr>
                <w:rFonts w:ascii="Arial" w:hAnsi="Arial"/>
                <w:b/>
                <w:color w:val="202020"/>
                <w:sz w:val="15"/>
              </w:rPr>
              <w:t>BLENDED  /  19,214 mi  ·  $41,501.02</w:t>
            </w:r>
          </w:p>
        </w:tc>
        <w:tc>
          <w:tcPr>
            <w:tcW w:type="dxa" w:w="907"/>
            <w:shd w:val="clear" w:fill="E4E9F0"/>
          </w:tcPr>
          <w:p>
            <w:pPr>
              <w:spacing w:after="0" w:before="0"/>
              <w:jc w:val="center"/>
            </w:pPr>
            <w:r>
              <w:rPr>
                <w:rFonts w:ascii="Arial" w:hAnsi="Arial"/>
                <w:b/>
                <w:color w:val="202020"/>
                <w:sz w:val="15"/>
              </w:rPr>
              <w:t>$2.16</w:t>
            </w:r>
          </w:p>
        </w:tc>
        <w:tc>
          <w:tcPr>
            <w:tcW w:type="dxa" w:w="835"/>
            <w:shd w:val="clear" w:fill="E4E9F0"/>
          </w:tcPr>
          <w:p>
            <w:pPr>
              <w:spacing w:after="0" w:before="0"/>
              <w:jc w:val="center"/>
            </w:pPr>
            <w:r>
              <w:rPr>
                <w:rFonts w:ascii="Arial" w:hAnsi="Arial"/>
                <w:b/>
                <w:color w:val="202020"/>
                <w:sz w:val="15"/>
              </w:rPr>
              <w:t>$1.28</w:t>
            </w:r>
          </w:p>
        </w:tc>
        <w:tc>
          <w:tcPr>
            <w:tcW w:type="dxa" w:w="691"/>
            <w:shd w:val="clear" w:fill="E4E9F0"/>
          </w:tcPr>
          <w:p>
            <w:pPr>
              <w:spacing w:after="0" w:before="0"/>
              <w:jc w:val="center"/>
            </w:pPr>
            <w:r>
              <w:rPr>
                <w:rFonts w:ascii="Arial" w:hAnsi="Arial"/>
                <w:b/>
                <w:color w:val="202020"/>
                <w:sz w:val="15"/>
              </w:rPr>
              <w:t>12.7%</w:t>
            </w:r>
          </w:p>
        </w:tc>
        <w:tc>
          <w:tcPr>
            <w:tcW w:type="dxa" w:w="691"/>
            <w:shd w:val="clear" w:fill="E4E9F0"/>
          </w:tcPr>
          <w:p>
            <w:pPr>
              <w:spacing w:after="0" w:before="0"/>
              <w:jc w:val="center"/>
            </w:pPr>
            <w:r>
              <w:rPr>
                <w:rFonts w:ascii="Arial" w:hAnsi="Arial"/>
                <w:b/>
                <w:color w:val="202020"/>
                <w:sz w:val="15"/>
              </w:rPr>
              <w:t>3.56</w:t>
            </w:r>
          </w:p>
        </w:tc>
        <w:tc>
          <w:tcPr>
            <w:tcW w:type="dxa" w:w="490"/>
            <w:shd w:val="clear" w:fill="E4E9F0"/>
          </w:tcPr>
          <w:p>
            <w:pPr>
              <w:spacing w:after="0" w:before="0"/>
              <w:jc w:val="center"/>
            </w:pPr>
            <w:r>
              <w:rPr>
                <w:rFonts w:ascii="Arial" w:hAnsi="Arial"/>
                <w:b/>
                <w:color w:val="202020"/>
                <w:sz w:val="15"/>
              </w:rPr>
              <w:t>8.50</w:t>
            </w:r>
          </w:p>
        </w:tc>
        <w:tc>
          <w:tcPr>
            <w:tcW w:type="dxa" w:w="1512"/>
            <w:shd w:val="clear" w:fill="E4E9F0"/>
          </w:tcPr>
          <w:p>
            <w:pPr>
              <w:spacing w:after="0" w:before="0"/>
              <w:jc w:val="center"/>
            </w:pPr>
            <w:r>
              <w:rPr>
                <w:rFonts w:ascii="Arial" w:hAnsi="Arial"/>
                <w:b/>
                <w:color w:val="202020"/>
                <w:sz w:val="15"/>
              </w:rPr>
            </w:r>
          </w:p>
        </w:tc>
      </w:tr>
    </w:tbl>
    <w:p>
      <w:pPr>
        <w:spacing w:before="80" w:after="120"/>
      </w:pPr>
      <w:r>
        <w:rPr>
          <w:rFonts w:ascii="Arial" w:hAnsi="Arial"/>
          <w:b w:val="0"/>
          <w:i w:val="0"/>
          <w:color w:val="5B6573"/>
          <w:sz w:val="17"/>
        </w:rPr>
        <w:t>Total net contribution across the sample is $24,504 against $41,501.02 of revenue. Deadhead is 12.7%.</w:t>
      </w:r>
    </w:p>
    <w:p>
      <w:pPr>
        <w:spacing w:before="300" w:after="100"/>
        <w:keepNext w:val="1"/>
      </w:pPr>
      <w:r>
        <w:rPr>
          <w:rFonts w:ascii="Arial" w:hAnsi="Arial"/>
          <w:b/>
          <w:color w:val="1F3864"/>
          <w:sz w:val="23"/>
        </w:rPr>
        <w:t>TESTING AGAINST MY OWN RATINGS, AND THE RESULT I DID NOT WANT</w:t>
      </w:r>
    </w:p>
    <w:p>
      <w:pPr>
        <w:spacing w:before="0" w:after="120"/>
      </w:pPr>
      <w:r>
        <w:rPr>
          <w:rFonts w:ascii="Arial" w:hAnsi="Arial"/>
          <w:b w:val="0"/>
          <w:i w:val="0"/>
          <w:color w:val="202020"/>
          <w:sz w:val="19"/>
        </w:rPr>
        <w:t>First, what this test is and is not. All 18 loads were accepted, and I scored each one after delivery. This compares model output against retrospective quality ratings. It is not a test against accept-or-decline decisions, and nothing in it shows whether the model would have caught a load worth refusing.</w:t>
      </w:r>
    </w:p>
    <w:p>
      <w:pPr>
        <w:spacing w:before="0" w:after="120"/>
      </w:pPr>
      <w:r>
        <w:rPr>
          <w:rFonts w:ascii="Arial" w:hAnsi="Arial"/>
          <w:b w:val="0"/>
          <w:i w:val="0"/>
          <w:color w:val="202020"/>
          <w:sz w:val="19"/>
        </w:rPr>
        <w:t>Correlation between the model score and my rating across the 18 loads is 0.56. Squared, the model accounts for roughly a third of the variance in those ratings.</w:t>
      </w:r>
    </w:p>
    <w:p>
      <w:pPr>
        <w:spacing w:before="0" w:after="120"/>
      </w:pPr>
      <w:r>
        <w:rPr>
          <w:rFonts w:ascii="Arial" w:hAnsi="Arial"/>
          <w:b w:val="0"/>
          <w:i w:val="0"/>
          <w:color w:val="202020"/>
          <w:sz w:val="19"/>
        </w:rPr>
        <w:t>Net dollars per mile, on its own, correlates at 0.62.</w:t>
      </w:r>
    </w:p>
    <w:p>
      <w:pPr>
        <w:spacing w:before="0" w:after="160"/>
      </w:pPr>
      <w:r>
        <w:rPr>
          <w:rFonts w:ascii="Arial" w:hAnsi="Arial"/>
          <w:b w:val="0"/>
          <w:i w:val="0"/>
          <w:color w:val="202020"/>
          <w:sz w:val="19"/>
        </w:rPr>
        <w:t>A single arithmetic column tracks my judgment slightly better than the eight-dimension weighted model built on top of it. I could close that gap by re-tuning the weights against these eighteen rows and the number would improve. It would also stop meaning anything, because at n=18 that is fitting noise and calling it insight. The weights stay where reasoning put them, and the result gets reported as it came out.</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3024"/>
        <w:gridCol w:w="1900"/>
        <w:gridCol w:w="4824"/>
      </w:tblGrid>
      <w:tr>
        <w:trPr>
          <w:tblHeader/>
        </w:trPr>
        <w:tc>
          <w:tcPr>
            <w:tcW w:type="dxa" w:w="3024"/>
            <w:shd w:val="clear" w:fill="1F3864"/>
          </w:tcPr>
          <w:p>
            <w:pPr>
              <w:spacing w:after="0" w:before="0"/>
            </w:pPr>
            <w:r>
              <w:rPr>
                <w:rFonts w:ascii="Arial" w:hAnsi="Arial"/>
                <w:b/>
                <w:color w:val="FFFFFF"/>
                <w:sz w:val="16"/>
              </w:rPr>
              <w:t>Measure</w:t>
            </w:r>
          </w:p>
        </w:tc>
        <w:tc>
          <w:tcPr>
            <w:tcW w:type="dxa" w:w="1901"/>
            <w:shd w:val="clear" w:fill="1F3864"/>
          </w:tcPr>
          <w:p>
            <w:pPr>
              <w:spacing w:after="0" w:before="0"/>
              <w:jc w:val="center"/>
            </w:pPr>
            <w:r>
              <w:rPr>
                <w:rFonts w:ascii="Arial" w:hAnsi="Arial"/>
                <w:b/>
                <w:color w:val="FFFFFF"/>
                <w:sz w:val="16"/>
              </w:rPr>
              <w:t>Value</w:t>
            </w:r>
          </w:p>
        </w:tc>
        <w:tc>
          <w:tcPr>
            <w:tcW w:type="dxa" w:w="4824"/>
            <w:shd w:val="clear" w:fill="1F3864"/>
          </w:tcPr>
          <w:p>
            <w:pPr>
              <w:spacing w:after="0" w:before="0"/>
            </w:pPr>
            <w:r>
              <w:rPr>
                <w:rFonts w:ascii="Arial" w:hAnsi="Arial"/>
                <w:b/>
                <w:color w:val="FFFFFF"/>
                <w:sz w:val="16"/>
              </w:rPr>
              <w:t>Reading</w:t>
            </w:r>
          </w:p>
        </w:tc>
      </w:tr>
      <w:tr>
        <w:tc>
          <w:tcPr>
            <w:tcW w:type="dxa" w:w="3024"/>
          </w:tcPr>
          <w:p>
            <w:pPr>
              <w:spacing w:after="0" w:before="0"/>
            </w:pPr>
            <w:r>
              <w:rPr>
                <w:rFonts w:ascii="Arial" w:hAnsi="Arial"/>
                <w:b w:val="0"/>
                <w:color w:val="202020"/>
                <w:sz w:val="16"/>
              </w:rPr>
              <w:t>Rating vs. gross $/mile</w:t>
            </w:r>
          </w:p>
        </w:tc>
        <w:tc>
          <w:tcPr>
            <w:tcW w:type="dxa" w:w="1901"/>
          </w:tcPr>
          <w:p>
            <w:pPr>
              <w:spacing w:after="0" w:before="0"/>
              <w:jc w:val="center"/>
            </w:pPr>
            <w:r>
              <w:rPr>
                <w:rFonts w:ascii="Arial" w:hAnsi="Arial"/>
                <w:b w:val="0"/>
                <w:color w:val="202020"/>
                <w:sz w:val="16"/>
              </w:rPr>
              <w:t>0.57</w:t>
            </w:r>
          </w:p>
        </w:tc>
        <w:tc>
          <w:tcPr>
            <w:tcW w:type="dxa" w:w="4824"/>
          </w:tcPr>
          <w:p>
            <w:pPr>
              <w:spacing w:after="0" w:before="0"/>
            </w:pPr>
            <w:r>
              <w:rPr>
                <w:rFonts w:ascii="Arial" w:hAnsi="Arial"/>
                <w:b w:val="0"/>
                <w:color w:val="202020"/>
                <w:sz w:val="16"/>
              </w:rPr>
              <w:t>Rate alone, before costing the load</w:t>
            </w:r>
          </w:p>
        </w:tc>
      </w:tr>
      <w:tr>
        <w:tc>
          <w:tcPr>
            <w:tcW w:type="dxa" w:w="3024"/>
            <w:shd w:val="clear" w:fill="F2F5F9"/>
          </w:tcPr>
          <w:p>
            <w:pPr>
              <w:spacing w:after="0" w:before="0"/>
            </w:pPr>
            <w:r>
              <w:rPr>
                <w:rFonts w:ascii="Arial" w:hAnsi="Arial"/>
                <w:b w:val="0"/>
                <w:color w:val="202020"/>
                <w:sz w:val="16"/>
              </w:rPr>
              <w:t>Rating vs. net $/mile</w:t>
            </w:r>
          </w:p>
        </w:tc>
        <w:tc>
          <w:tcPr>
            <w:tcW w:type="dxa" w:w="1901"/>
            <w:shd w:val="clear" w:fill="F2F5F9"/>
          </w:tcPr>
          <w:p>
            <w:pPr>
              <w:spacing w:after="0" w:before="0"/>
              <w:jc w:val="center"/>
            </w:pPr>
            <w:r>
              <w:rPr>
                <w:rFonts w:ascii="Arial" w:hAnsi="Arial"/>
                <w:b w:val="0"/>
                <w:color w:val="202020"/>
                <w:sz w:val="16"/>
              </w:rPr>
              <w:t>0.62</w:t>
            </w:r>
          </w:p>
        </w:tc>
        <w:tc>
          <w:tcPr>
            <w:tcW w:type="dxa" w:w="4824"/>
            <w:shd w:val="clear" w:fill="F2F5F9"/>
          </w:tcPr>
          <w:p>
            <w:pPr>
              <w:spacing w:after="0" w:before="0"/>
            </w:pPr>
            <w:r>
              <w:rPr>
                <w:rFonts w:ascii="Arial" w:hAnsi="Arial"/>
                <w:b w:val="0"/>
                <w:color w:val="202020"/>
                <w:sz w:val="16"/>
              </w:rPr>
              <w:t>Costing it properly helps</w:t>
            </w:r>
          </w:p>
        </w:tc>
      </w:tr>
      <w:tr>
        <w:tc>
          <w:tcPr>
            <w:tcW w:type="dxa" w:w="3024"/>
          </w:tcPr>
          <w:p>
            <w:pPr>
              <w:spacing w:after="0" w:before="0"/>
            </w:pPr>
            <w:r>
              <w:rPr>
                <w:rFonts w:ascii="Arial" w:hAnsi="Arial"/>
                <w:b w:val="0"/>
                <w:color w:val="202020"/>
                <w:sz w:val="16"/>
              </w:rPr>
              <w:t>Rating vs. full model score</w:t>
            </w:r>
          </w:p>
        </w:tc>
        <w:tc>
          <w:tcPr>
            <w:tcW w:type="dxa" w:w="1901"/>
          </w:tcPr>
          <w:p>
            <w:pPr>
              <w:spacing w:after="0" w:before="0"/>
              <w:jc w:val="center"/>
            </w:pPr>
            <w:r>
              <w:rPr>
                <w:rFonts w:ascii="Arial" w:hAnsi="Arial"/>
                <w:b w:val="0"/>
                <w:color w:val="202020"/>
                <w:sz w:val="16"/>
              </w:rPr>
              <w:t>0.56</w:t>
            </w:r>
          </w:p>
        </w:tc>
        <w:tc>
          <w:tcPr>
            <w:tcW w:type="dxa" w:w="4824"/>
          </w:tcPr>
          <w:p>
            <w:pPr>
              <w:spacing w:after="0" w:before="0"/>
            </w:pPr>
            <w:r>
              <w:rPr>
                <w:rFonts w:ascii="Arial" w:hAnsi="Arial"/>
                <w:b w:val="0"/>
                <w:color w:val="202020"/>
                <w:sz w:val="16"/>
              </w:rPr>
              <w:t>Eight dimensions, no better than net rate</w:t>
            </w:r>
          </w:p>
        </w:tc>
      </w:tr>
      <w:tr>
        <w:tc>
          <w:tcPr>
            <w:tcW w:type="dxa" w:w="3024"/>
            <w:shd w:val="clear" w:fill="F2F5F9"/>
          </w:tcPr>
          <w:p>
            <w:pPr>
              <w:spacing w:after="0" w:before="0"/>
            </w:pPr>
            <w:r>
              <w:rPr>
                <w:rFonts w:ascii="Arial" w:hAnsi="Arial"/>
                <w:b w:val="0"/>
                <w:color w:val="202020"/>
                <w:sz w:val="16"/>
              </w:rPr>
              <w:t>Variance in ratings explained</w:t>
            </w:r>
          </w:p>
        </w:tc>
        <w:tc>
          <w:tcPr>
            <w:tcW w:type="dxa" w:w="1901"/>
            <w:shd w:val="clear" w:fill="F2F5F9"/>
          </w:tcPr>
          <w:p>
            <w:pPr>
              <w:spacing w:after="0" w:before="0"/>
              <w:jc w:val="center"/>
            </w:pPr>
            <w:r>
              <w:rPr>
                <w:rFonts w:ascii="Arial" w:hAnsi="Arial"/>
                <w:b w:val="0"/>
                <w:color w:val="202020"/>
                <w:sz w:val="16"/>
              </w:rPr>
              <w:t>30.9%</w:t>
            </w:r>
          </w:p>
        </w:tc>
        <w:tc>
          <w:tcPr>
            <w:tcW w:type="dxa" w:w="4824"/>
            <w:shd w:val="clear" w:fill="F2F5F9"/>
          </w:tcPr>
          <w:p>
            <w:pPr>
              <w:spacing w:after="0" w:before="0"/>
            </w:pPr>
            <w:r>
              <w:rPr>
                <w:rFonts w:ascii="Arial" w:hAnsi="Arial"/>
                <w:b w:val="0"/>
                <w:color w:val="202020"/>
                <w:sz w:val="16"/>
              </w:rPr>
              <w:t>Two thirds of the rating sits outside the model</w:t>
            </w:r>
          </w:p>
        </w:tc>
      </w:tr>
      <w:tr>
        <w:tc>
          <w:tcPr>
            <w:tcW w:type="dxa" w:w="3024"/>
          </w:tcPr>
          <w:p>
            <w:pPr>
              <w:spacing w:after="0" w:before="0"/>
            </w:pPr>
            <w:r>
              <w:rPr>
                <w:rFonts w:ascii="Arial" w:hAnsi="Arial"/>
                <w:b w:val="0"/>
                <w:color w:val="202020"/>
                <w:sz w:val="16"/>
              </w:rPr>
              <w:t>Lowest four — my rating</w:t>
            </w:r>
          </w:p>
        </w:tc>
        <w:tc>
          <w:tcPr>
            <w:tcW w:type="dxa" w:w="1901"/>
          </w:tcPr>
          <w:p>
            <w:pPr>
              <w:spacing w:after="0" w:before="0"/>
              <w:jc w:val="center"/>
            </w:pPr>
            <w:r>
              <w:rPr>
                <w:rFonts w:ascii="Arial" w:hAnsi="Arial"/>
                <w:b w:val="0"/>
                <w:color w:val="202020"/>
                <w:sz w:val="16"/>
              </w:rPr>
              <w:t>L-06, L-12, L-10, L-01</w:t>
            </w:r>
          </w:p>
        </w:tc>
        <w:tc>
          <w:tcPr>
            <w:tcW w:type="dxa" w:w="4824"/>
          </w:tcPr>
          <w:p>
            <w:pPr>
              <w:spacing w:after="0" w:before="0"/>
            </w:pPr>
            <w:r>
              <w:rPr>
                <w:rFonts w:ascii="Arial" w:hAnsi="Arial"/>
                <w:b w:val="0"/>
                <w:color w:val="202020"/>
                <w:sz w:val="16"/>
              </w:rPr>
              <w:t>Two of four overlap with the model</w:t>
            </w:r>
          </w:p>
        </w:tc>
      </w:tr>
      <w:tr>
        <w:tc>
          <w:tcPr>
            <w:tcW w:type="dxa" w:w="3024"/>
            <w:shd w:val="clear" w:fill="F2F5F9"/>
          </w:tcPr>
          <w:p>
            <w:pPr>
              <w:spacing w:after="0" w:before="0"/>
            </w:pPr>
            <w:r>
              <w:rPr>
                <w:rFonts w:ascii="Arial" w:hAnsi="Arial"/>
                <w:b w:val="0"/>
                <w:color w:val="202020"/>
                <w:sz w:val="16"/>
              </w:rPr>
              <w:t>Lowest four — model</w:t>
            </w:r>
          </w:p>
        </w:tc>
        <w:tc>
          <w:tcPr>
            <w:tcW w:type="dxa" w:w="1901"/>
            <w:shd w:val="clear" w:fill="F2F5F9"/>
          </w:tcPr>
          <w:p>
            <w:pPr>
              <w:spacing w:after="0" w:before="0"/>
              <w:jc w:val="center"/>
            </w:pPr>
            <w:r>
              <w:rPr>
                <w:rFonts w:ascii="Arial" w:hAnsi="Arial"/>
                <w:b w:val="0"/>
                <w:color w:val="202020"/>
                <w:sz w:val="16"/>
              </w:rPr>
              <w:t>L-11, L-06, L-10, L-07</w:t>
            </w:r>
          </w:p>
        </w:tc>
        <w:tc>
          <w:tcPr>
            <w:tcW w:type="dxa" w:w="4824"/>
            <w:shd w:val="clear" w:fill="F2F5F9"/>
          </w:tcPr>
          <w:p>
            <w:pPr>
              <w:spacing w:after="0" w:before="0"/>
            </w:pPr>
            <w:r>
              <w:rPr>
                <w:rFonts w:ascii="Arial" w:hAnsi="Arial"/>
                <w:b w:val="0"/>
                <w:color w:val="202020"/>
                <w:sz w:val="16"/>
              </w:rPr>
            </w:r>
          </w:p>
        </w:tc>
      </w:tr>
      <w:tr>
        <w:tc>
          <w:tcPr>
            <w:tcW w:type="dxa" w:w="3024"/>
          </w:tcPr>
          <w:p>
            <w:pPr>
              <w:spacing w:after="0" w:before="0"/>
            </w:pPr>
            <w:r>
              <w:rPr>
                <w:rFonts w:ascii="Arial" w:hAnsi="Arial"/>
                <w:b w:val="0"/>
                <w:color w:val="202020"/>
                <w:sz w:val="16"/>
              </w:rPr>
              <w:t>Highest four — my rating</w:t>
            </w:r>
          </w:p>
        </w:tc>
        <w:tc>
          <w:tcPr>
            <w:tcW w:type="dxa" w:w="1901"/>
          </w:tcPr>
          <w:p>
            <w:pPr>
              <w:spacing w:after="0" w:before="0"/>
              <w:jc w:val="center"/>
            </w:pPr>
            <w:r>
              <w:rPr>
                <w:rFonts w:ascii="Arial" w:hAnsi="Arial"/>
                <w:b w:val="0"/>
                <w:color w:val="202020"/>
                <w:sz w:val="16"/>
              </w:rPr>
              <w:t>L-04, L-08, L-13, L-14</w:t>
            </w:r>
          </w:p>
        </w:tc>
        <w:tc>
          <w:tcPr>
            <w:tcW w:type="dxa" w:w="4824"/>
          </w:tcPr>
          <w:p>
            <w:pPr>
              <w:spacing w:after="0" w:before="0"/>
            </w:pPr>
            <w:r>
              <w:rPr>
                <w:rFonts w:ascii="Arial" w:hAnsi="Arial"/>
                <w:b w:val="0"/>
                <w:color w:val="202020"/>
                <w:sz w:val="16"/>
              </w:rPr>
              <w:t>Two of four overlap with the model</w:t>
            </w:r>
          </w:p>
        </w:tc>
      </w:tr>
      <w:tr>
        <w:tc>
          <w:tcPr>
            <w:tcW w:type="dxa" w:w="3024"/>
            <w:shd w:val="clear" w:fill="F2F5F9"/>
          </w:tcPr>
          <w:p>
            <w:pPr>
              <w:spacing w:after="0" w:before="0"/>
            </w:pPr>
            <w:r>
              <w:rPr>
                <w:rFonts w:ascii="Arial" w:hAnsi="Arial"/>
                <w:b w:val="0"/>
                <w:color w:val="202020"/>
                <w:sz w:val="16"/>
              </w:rPr>
              <w:t>Highest four — model</w:t>
            </w:r>
          </w:p>
        </w:tc>
        <w:tc>
          <w:tcPr>
            <w:tcW w:type="dxa" w:w="1901"/>
            <w:shd w:val="clear" w:fill="F2F5F9"/>
          </w:tcPr>
          <w:p>
            <w:pPr>
              <w:spacing w:after="0" w:before="0"/>
              <w:jc w:val="center"/>
            </w:pPr>
            <w:r>
              <w:rPr>
                <w:rFonts w:ascii="Arial" w:hAnsi="Arial"/>
                <w:b w:val="0"/>
                <w:color w:val="202020"/>
                <w:sz w:val="16"/>
              </w:rPr>
              <w:t>L-13, L-16, L-03, L-04</w:t>
            </w:r>
          </w:p>
        </w:tc>
        <w:tc>
          <w:tcPr>
            <w:tcW w:type="dxa" w:w="4824"/>
            <w:shd w:val="clear" w:fill="F2F5F9"/>
          </w:tcPr>
          <w:p>
            <w:pPr>
              <w:spacing w:after="0" w:before="0"/>
            </w:pPr>
            <w:r>
              <w:rPr>
                <w:rFonts w:ascii="Arial" w:hAnsi="Arial"/>
                <w:b w:val="0"/>
                <w:color w:val="202020"/>
                <w:sz w:val="16"/>
              </w:rPr>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The disagreements are more useful than the overlaps. L-14 and L-08 both rated 10 and both land in the model’s bottom half. L-14 delivered to Apollo Beach and put me in my own house for three days. L-08 was 2,500 pounds of strut that ran 11 mpg and cleared the receiver in under thirty minutes. L-07 the model declines outright; three drivers had already refused it when it came to me, and taking it bought discretion with my fleet manager that is worth more over a year than the margin I gave up on one trip.</w:t>
      </w:r>
    </w:p>
    <w:p>
      <w:pPr>
        <w:spacing w:before="0" w:after="120"/>
      </w:pPr>
      <w:r>
        <w:rPr>
          <w:rFonts w:ascii="Arial" w:hAnsi="Arial"/>
          <w:b w:val="0"/>
          <w:i w:val="0"/>
          <w:color w:val="202020"/>
          <w:sz w:val="19"/>
        </w:rPr>
        <w:t>Two of those three misses are structural and should stay that way. A weighted score built on load economics cannot see the value of being home on a Saturday, and a model that claims to price that is lying about what it knows. They are handled outside the score instead: a weekly revenue floor, and a written exception for loads taken to bank goodwill.</w:t>
      </w:r>
    </w:p>
    <w:tbl>
      <w:tblPr>
        <w:tblW w:type="auto" w:w="0"/>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120" w:type="dxa"/>
          <w:left w:w="160" w:type="dxa"/>
          <w:bottom w:w="120" w:type="dxa"/>
          <w:right w:w="160" w:type="dxa"/>
        </w:tblCellMar>
        <w:tblLayout w:type="fixed"/>
        <w:tblW w:w="9748" w:type="dxa"/>
      </w:tblPr>
      <w:tblGrid>
        <w:gridCol w:w="9748"/>
      </w:tblGrid>
      <w:tr>
        <w:tc>
          <w:tcPr>
            <w:tcW w:type="dxa" w:w="9749"/>
            <w:shd w:val="clear" w:fill="F2F5F9"/>
          </w:tcPr>
          <w:p>
            <w:pPr>
              <w:spacing w:after="60"/>
            </w:pPr>
            <w:r>
              <w:rPr>
                <w:rFonts w:ascii="Arial" w:hAnsi="Arial"/>
                <w:b/>
                <w:color w:val="1F3864"/>
                <w:sz w:val="19"/>
              </w:rPr>
              <w:t>Why the model survives a result like this</w:t>
            </w:r>
          </w:p>
          <w:p>
            <w:pPr>
              <w:spacing w:after="60" w:before="0"/>
            </w:pPr>
            <w:r>
              <w:rPr>
                <w:rFonts w:ascii="Arial" w:hAnsi="Arial"/>
                <w:color w:val="202020"/>
                <w:sz w:val="18"/>
              </w:rPr>
              <w:t xml:space="preserve">It was never going to beat my own ratings on loads I have already run. It does three things a rating cannot. It is reviewable, so any decision can be reconstructed months later. It is teachable, so the reasoning transfers to a driver who has not spent eight years acquiring it. And it is stable at 2 a.m. in a way that I am not.</w:t>
            </w:r>
          </w:p>
          <w:p>
            <w:pPr>
              <w:spacing w:after="60" w:before="0"/>
            </w:pPr>
            <w:r>
              <w:rPr>
                <w:rFonts w:ascii="Arial" w:hAnsi="Arial"/>
                <w:color w:val="202020"/>
                <w:sz w:val="18"/>
              </w:rPr>
              <w:t>The negative result is also the reason the artifact is worth reading. A results section reporting 0.94 with no threats to validity would tell you the model was tuned until it agreed with itself.</w:t>
            </w:r>
          </w:p>
        </w:tc>
      </w:tr>
    </w:tbl>
    <w:p>
      <w:pPr>
        <w:spacing w:after="40"/>
      </w:pPr>
    </w:p>
    <w:p>
      <w:pPr>
        <w:spacing w:before="300" w:after="100"/>
        <w:keepNext w:val="1"/>
      </w:pPr>
      <w:r>
        <w:rPr>
          <w:rFonts w:ascii="Arial" w:hAnsi="Arial"/>
          <w:b/>
          <w:color w:val="1F3864"/>
          <w:sz w:val="23"/>
        </w:rPr>
        <w:t>WHAT THE MODEL CHANGES</w:t>
      </w:r>
    </w:p>
    <w:p>
      <w:pPr>
        <w:spacing w:before="0" w:after="100"/>
        <w:ind w:left="317"/>
      </w:pPr>
      <w:r>
        <w:rPr>
          <w:rFonts w:ascii="Arial" w:hAnsi="Arial"/>
          <w:b/>
          <w:color w:val="1F3864"/>
          <w:sz w:val="19"/>
        </w:rPr>
        <w:t xml:space="preserve">•   </w:t>
      </w:r>
      <w:r>
        <w:rPr>
          <w:rFonts w:ascii="Arial" w:hAnsi="Arial"/>
          <w:b/>
          <w:color w:val="202020"/>
          <w:sz w:val="19"/>
        </w:rPr>
        <w:t xml:space="preserve">It prices time.  </w:t>
      </w:r>
      <w:r>
        <w:rPr>
          <w:rFonts w:ascii="Arial" w:hAnsi="Arial"/>
          <w:color w:val="202020"/>
          <w:sz w:val="19"/>
        </w:rPr>
        <w:t>Net dollars per hour committed carries 15%, which penalizes a well-paying load that will burn eleven hours at a slow facility. L-06 clears its costs and still scores 2.40 because it returns $23 an hour against a sample average of $61.</w:t>
      </w:r>
    </w:p>
    <w:p>
      <w:pPr>
        <w:spacing w:before="0" w:after="100"/>
        <w:ind w:left="317"/>
      </w:pPr>
      <w:r>
        <w:rPr>
          <w:rFonts w:ascii="Arial" w:hAnsi="Arial"/>
          <w:b/>
          <w:color w:val="1F3864"/>
          <w:sz w:val="19"/>
        </w:rPr>
        <w:t xml:space="preserve">•   </w:t>
      </w:r>
      <w:r>
        <w:rPr>
          <w:rFonts w:ascii="Arial" w:hAnsi="Arial"/>
          <w:b/>
          <w:color w:val="202020"/>
          <w:sz w:val="19"/>
        </w:rPr>
        <w:t xml:space="preserve">It makes deadhead a cost, not a rule of thumb.  </w:t>
      </w:r>
      <w:r>
        <w:rPr>
          <w:rFonts w:ascii="Arial" w:hAnsi="Arial"/>
          <w:color w:val="202020"/>
          <w:sz w:val="19"/>
        </w:rPr>
        <w:t>Full cost per mile applies to empty miles. L-16 carries 31.2% deadhead and still scores 4.50, because 330 total miles at $2.94 gross absorbs it. The model gets that trade right where a flat deadhead rule would not.</w:t>
      </w:r>
    </w:p>
    <w:p>
      <w:pPr>
        <w:spacing w:before="0" w:after="100"/>
        <w:ind w:left="317"/>
      </w:pPr>
      <w:r>
        <w:rPr>
          <w:rFonts w:ascii="Arial" w:hAnsi="Arial"/>
          <w:b/>
          <w:color w:val="1F3864"/>
          <w:sz w:val="19"/>
        </w:rPr>
        <w:t xml:space="preserve">•   </w:t>
      </w:r>
      <w:r>
        <w:rPr>
          <w:rFonts w:ascii="Arial" w:hAnsi="Arial"/>
          <w:b/>
          <w:color w:val="202020"/>
          <w:sz w:val="19"/>
        </w:rPr>
        <w:t xml:space="preserve">It prices weight through commodity.  </w:t>
      </w:r>
      <w:r>
        <w:rPr>
          <w:rFonts w:ascii="Arial" w:hAnsi="Arial"/>
          <w:color w:val="202020"/>
          <w:sz w:val="19"/>
        </w:rPr>
        <w:t>Foam board at 5,000 pounds returns 10 mpg against 7.0 for a loaded flatbed. At $4.076 net diesel that is $0.17 per mile of margin a single-MPG model hands to the wrong load.</w:t>
      </w:r>
    </w:p>
    <w:p>
      <w:pPr>
        <w:spacing w:before="0" w:after="100"/>
        <w:ind w:left="317"/>
      </w:pPr>
      <w:r>
        <w:rPr>
          <w:rFonts w:ascii="Arial" w:hAnsi="Arial"/>
          <w:b/>
          <w:color w:val="1F3864"/>
          <w:sz w:val="19"/>
        </w:rPr>
        <w:t xml:space="preserve">•   </w:t>
      </w:r>
      <w:r>
        <w:rPr>
          <w:rFonts w:ascii="Arial" w:hAnsi="Arial"/>
          <w:b/>
          <w:color w:val="202020"/>
          <w:sz w:val="19"/>
        </w:rPr>
        <w:t xml:space="preserve">It separates profitable from acceptable.  </w:t>
      </w:r>
      <w:r>
        <w:rPr>
          <w:rFonts w:ascii="Arial" w:hAnsi="Arial"/>
          <w:color w:val="202020"/>
          <w:sz w:val="19"/>
        </w:rPr>
        <w:t>L-12 clears every gate, returns $2,194 net, and still only earns a counter. Grades through the Sierra Nevada, no signal, and nowhere legal to shut down are real costs that never reach the rate confirmation.</w:t>
      </w:r>
    </w:p>
    <w:p>
      <w:pPr>
        <w:spacing w:before="0" w:after="100"/>
        <w:ind w:left="317"/>
      </w:pPr>
      <w:r>
        <w:rPr>
          <w:rFonts w:ascii="Arial" w:hAnsi="Arial"/>
          <w:b/>
          <w:color w:val="1F3864"/>
          <w:sz w:val="19"/>
        </w:rPr>
        <w:t xml:space="preserve">•   </w:t>
      </w:r>
      <w:r>
        <w:rPr>
          <w:rFonts w:ascii="Arial" w:hAnsi="Arial"/>
          <w:b/>
          <w:color w:val="202020"/>
          <w:sz w:val="19"/>
        </w:rPr>
        <w:t xml:space="preserve">It is teachable.  </w:t>
      </w:r>
      <w:r>
        <w:rPr>
          <w:rFonts w:ascii="Arial" w:hAnsi="Arial"/>
          <w:color w:val="202020"/>
          <w:sz w:val="19"/>
        </w:rPr>
        <w:t>The rules are written down, so the reasoning can be handed to a new driver instead of acquired across three years of expensive mistakes.</w:t>
      </w:r>
    </w:p>
    <w:p>
      <w:pPr>
        <w:spacing w:before="300" w:after="100"/>
        <w:keepNext w:val="1"/>
      </w:pPr>
      <w:r>
        <w:rPr>
          <w:rFonts w:ascii="Arial" w:hAnsi="Arial"/>
          <w:b/>
          <w:color w:val="1F3864"/>
          <w:sz w:val="23"/>
        </w:rPr>
        <w:t>ENTERPRISE TRANSLATION</w:t>
      </w:r>
    </w:p>
    <w:p>
      <w:pPr>
        <w:spacing w:before="0" w:after="120"/>
      </w:pPr>
      <w:r>
        <w:rPr>
          <w:rFonts w:ascii="Arial" w:hAnsi="Arial"/>
          <w:b w:val="0"/>
          <w:i w:val="0"/>
          <w:color w:val="202020"/>
          <w:sz w:val="19"/>
        </w:rPr>
        <w:t>The freight context is incidental. What the artifact demonstrates is a repeatable pattern for high-frequency decisions made under incomplete information and time pressure: establish the true unit cost, weight the criteria that actually drive the outcome, keep calculated separate from judged, put hard gates around the failures no weighted average should ever approve, then test it against whatever record of past outcomes exists and publish what the test said.</w:t>
      </w:r>
    </w:p>
    <w:p>
      <w:pPr>
        <w:spacing w:before="0" w:after="160"/>
      </w:pPr>
      <w:r>
        <w:rPr>
          <w:rFonts w:ascii="Arial" w:hAnsi="Arial"/>
          <w:b w:val="0"/>
          <w:i w:val="0"/>
          <w:color w:val="202020"/>
          <w:sz w:val="19"/>
        </w:rPr>
        <w:t xml:space="preserve">The version 3 step matters most here. Anyone can build a cost model from published benchmarks. Reconciling one to settlement-derived operating history, finding four material errors in your own work, and rewriting rather than defending is the part that transfers.</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3110"/>
        <w:gridCol w:w="6638"/>
      </w:tblGrid>
      <w:tr>
        <w:trPr>
          <w:tblHeader/>
        </w:trPr>
        <w:tc>
          <w:tcPr>
            <w:tcW w:type="dxa" w:w="3110"/>
            <w:shd w:val="clear" w:fill="1F3864"/>
          </w:tcPr>
          <w:p>
            <w:pPr>
              <w:spacing w:after="0" w:before="0"/>
            </w:pPr>
            <w:r>
              <w:rPr>
                <w:rFonts w:ascii="Arial" w:hAnsi="Arial"/>
                <w:b/>
                <w:color w:val="FFFFFF"/>
                <w:sz w:val="16"/>
              </w:rPr>
              <w:t>Freight decision</w:t>
            </w:r>
          </w:p>
        </w:tc>
        <w:tc>
          <w:tcPr>
            <w:tcW w:type="dxa" w:w="6638"/>
            <w:shd w:val="clear" w:fill="1F3864"/>
          </w:tcPr>
          <w:p>
            <w:pPr>
              <w:spacing w:after="0" w:before="0"/>
            </w:pPr>
            <w:r>
              <w:rPr>
                <w:rFonts w:ascii="Arial" w:hAnsi="Arial"/>
                <w:b/>
                <w:color w:val="FFFFFF"/>
                <w:sz w:val="16"/>
              </w:rPr>
              <w:t>Enterprise AI platform evaluation</w:t>
            </w:r>
          </w:p>
        </w:tc>
      </w:tr>
      <w:tr>
        <w:tc>
          <w:tcPr>
            <w:tcW w:type="dxa" w:w="3110"/>
          </w:tcPr>
          <w:p>
            <w:pPr>
              <w:spacing w:after="0" w:before="0"/>
            </w:pPr>
            <w:r>
              <w:rPr>
                <w:rFonts w:ascii="Arial" w:hAnsi="Arial"/>
                <w:b w:val="0"/>
                <w:color w:val="202020"/>
                <w:sz w:val="16"/>
              </w:rPr>
              <w:t>All-in cost per mile</w:t>
            </w:r>
          </w:p>
        </w:tc>
        <w:tc>
          <w:tcPr>
            <w:tcW w:type="dxa" w:w="6638"/>
          </w:tcPr>
          <w:p>
            <w:pPr>
              <w:spacing w:after="0" w:before="0"/>
            </w:pPr>
            <w:r>
              <w:rPr>
                <w:rFonts w:ascii="Arial" w:hAnsi="Arial"/>
                <w:b w:val="0"/>
                <w:color w:val="202020"/>
                <w:sz w:val="16"/>
              </w:rPr>
              <w:t>Total cost of ownership — licensing, integration, support, retraining</w:t>
            </w:r>
          </w:p>
        </w:tc>
      </w:tr>
      <w:tr>
        <w:tc>
          <w:tcPr>
            <w:tcW w:type="dxa" w:w="3110"/>
            <w:shd w:val="clear" w:fill="F2F5F9"/>
          </w:tcPr>
          <w:p>
            <w:pPr>
              <w:spacing w:after="0" w:before="0"/>
            </w:pPr>
            <w:r>
              <w:rPr>
                <w:rFonts w:ascii="Arial" w:hAnsi="Arial"/>
                <w:b w:val="0"/>
                <w:color w:val="202020"/>
                <w:sz w:val="16"/>
              </w:rPr>
              <w:t xml:space="preserve">Reconciling the cost stack to settlement history</w:t>
            </w:r>
          </w:p>
        </w:tc>
        <w:tc>
          <w:tcPr>
            <w:tcW w:type="dxa" w:w="6638"/>
            <w:shd w:val="clear" w:fill="F2F5F9"/>
          </w:tcPr>
          <w:p>
            <w:pPr>
              <w:spacing w:after="0" w:before="0"/>
            </w:pPr>
            <w:r>
              <w:rPr>
                <w:rFonts w:ascii="Arial" w:hAnsi="Arial"/>
                <w:b w:val="0"/>
                <w:color w:val="202020"/>
                <w:sz w:val="16"/>
              </w:rPr>
              <w:t>Reconciling a TCO model to actual invoices and usage telemetry</w:t>
            </w:r>
          </w:p>
        </w:tc>
      </w:tr>
      <w:tr>
        <w:tc>
          <w:tcPr>
            <w:tcW w:type="dxa" w:w="3110"/>
          </w:tcPr>
          <w:p>
            <w:pPr>
              <w:spacing w:after="0" w:before="0"/>
            </w:pPr>
            <w:r>
              <w:rPr>
                <w:rFonts w:ascii="Arial" w:hAnsi="Arial"/>
                <w:b w:val="0"/>
                <w:color w:val="202020"/>
                <w:sz w:val="16"/>
              </w:rPr>
              <w:t>Rate quality</w:t>
            </w:r>
          </w:p>
        </w:tc>
        <w:tc>
          <w:tcPr>
            <w:tcW w:type="dxa" w:w="6638"/>
          </w:tcPr>
          <w:p>
            <w:pPr>
              <w:spacing w:after="0" w:before="0"/>
            </w:pPr>
            <w:r>
              <w:rPr>
                <w:rFonts w:ascii="Arial" w:hAnsi="Arial"/>
                <w:b w:val="0"/>
                <w:color w:val="202020"/>
                <w:sz w:val="16"/>
              </w:rPr>
              <w:t>Measured task quality and business outcome, not demo performance</w:t>
            </w:r>
          </w:p>
        </w:tc>
      </w:tr>
      <w:tr>
        <w:tc>
          <w:tcPr>
            <w:tcW w:type="dxa" w:w="3110"/>
            <w:shd w:val="clear" w:fill="F2F5F9"/>
          </w:tcPr>
          <w:p>
            <w:pPr>
              <w:spacing w:after="0" w:before="0"/>
            </w:pPr>
            <w:r>
              <w:rPr>
                <w:rFonts w:ascii="Arial" w:hAnsi="Arial"/>
                <w:b w:val="0"/>
                <w:color w:val="202020"/>
                <w:sz w:val="16"/>
              </w:rPr>
              <w:t>Time efficiency</w:t>
            </w:r>
          </w:p>
        </w:tc>
        <w:tc>
          <w:tcPr>
            <w:tcW w:type="dxa" w:w="6638"/>
            <w:shd w:val="clear" w:fill="F2F5F9"/>
          </w:tcPr>
          <w:p>
            <w:pPr>
              <w:spacing w:after="0" w:before="0"/>
            </w:pPr>
            <w:r>
              <w:rPr>
                <w:rFonts w:ascii="Arial" w:hAnsi="Arial"/>
                <w:b w:val="0"/>
                <w:color w:val="202020"/>
                <w:sz w:val="16"/>
              </w:rPr>
              <w:t>Time to value; engineering hours consumed per unit of benefit</w:t>
            </w:r>
          </w:p>
        </w:tc>
      </w:tr>
      <w:tr>
        <w:tc>
          <w:tcPr>
            <w:tcW w:type="dxa" w:w="3110"/>
          </w:tcPr>
          <w:p>
            <w:pPr>
              <w:spacing w:after="0" w:before="0"/>
            </w:pPr>
            <w:r>
              <w:rPr>
                <w:rFonts w:ascii="Arial" w:hAnsi="Arial"/>
                <w:b w:val="0"/>
                <w:color w:val="202020"/>
                <w:sz w:val="16"/>
              </w:rPr>
              <w:t>Deadhead percentage</w:t>
            </w:r>
          </w:p>
        </w:tc>
        <w:tc>
          <w:tcPr>
            <w:tcW w:type="dxa" w:w="6638"/>
          </w:tcPr>
          <w:p>
            <w:pPr>
              <w:spacing w:after="0" w:before="0"/>
            </w:pPr>
            <w:r>
              <w:rPr>
                <w:rFonts w:ascii="Arial" w:hAnsi="Arial"/>
                <w:b w:val="0"/>
                <w:color w:val="202020"/>
                <w:sz w:val="16"/>
              </w:rPr>
              <w:t>Unrecoverable overhead — rework, migration, abandoned pilots</w:t>
            </w:r>
          </w:p>
        </w:tc>
      </w:tr>
      <w:tr>
        <w:tc>
          <w:tcPr>
            <w:tcW w:type="dxa" w:w="3110"/>
            <w:shd w:val="clear" w:fill="F2F5F9"/>
          </w:tcPr>
          <w:p>
            <w:pPr>
              <w:spacing w:after="0" w:before="0"/>
            </w:pPr>
            <w:r>
              <w:rPr>
                <w:rFonts w:ascii="Arial" w:hAnsi="Arial"/>
                <w:b w:val="0"/>
                <w:color w:val="202020"/>
                <w:sz w:val="16"/>
              </w:rPr>
              <w:t>Destination value</w:t>
            </w:r>
          </w:p>
        </w:tc>
        <w:tc>
          <w:tcPr>
            <w:tcW w:type="dxa" w:w="6638"/>
            <w:shd w:val="clear" w:fill="F2F5F9"/>
          </w:tcPr>
          <w:p>
            <w:pPr>
              <w:spacing w:after="0" w:before="0"/>
            </w:pPr>
            <w:r>
              <w:rPr>
                <w:rFonts w:ascii="Arial" w:hAnsi="Arial"/>
                <w:b w:val="0"/>
                <w:color w:val="202020"/>
                <w:sz w:val="16"/>
              </w:rPr>
              <w:t>Platform roadmap, vendor viability, what the next decision costs</w:t>
            </w:r>
          </w:p>
        </w:tc>
      </w:tr>
      <w:tr>
        <w:tc>
          <w:tcPr>
            <w:tcW w:type="dxa" w:w="3110"/>
          </w:tcPr>
          <w:p>
            <w:pPr>
              <w:spacing w:after="0" w:before="0"/>
            </w:pPr>
            <w:r>
              <w:rPr>
                <w:rFonts w:ascii="Arial" w:hAnsi="Arial"/>
                <w:b w:val="0"/>
                <w:color w:val="202020"/>
                <w:sz w:val="16"/>
              </w:rPr>
              <w:t>Dwell and detention risk</w:t>
            </w:r>
          </w:p>
        </w:tc>
        <w:tc>
          <w:tcPr>
            <w:tcW w:type="dxa" w:w="6638"/>
          </w:tcPr>
          <w:p>
            <w:pPr>
              <w:spacing w:after="0" w:before="0"/>
            </w:pPr>
            <w:r>
              <w:rPr>
                <w:rFonts w:ascii="Arial" w:hAnsi="Arial"/>
                <w:b w:val="0"/>
                <w:color w:val="202020"/>
                <w:sz w:val="16"/>
              </w:rPr>
              <w:t>Support responsiveness, incident history, escalation paths</w:t>
            </w:r>
          </w:p>
        </w:tc>
      </w:tr>
      <w:tr>
        <w:tc>
          <w:tcPr>
            <w:tcW w:type="dxa" w:w="3110"/>
            <w:shd w:val="clear" w:fill="F2F5F9"/>
          </w:tcPr>
          <w:p>
            <w:pPr>
              <w:spacing w:after="0" w:before="0"/>
            </w:pPr>
            <w:r>
              <w:rPr>
                <w:rFonts w:ascii="Arial" w:hAnsi="Arial"/>
                <w:b w:val="0"/>
                <w:color w:val="202020"/>
                <w:sz w:val="16"/>
              </w:rPr>
              <w:t>Securement burden</w:t>
            </w:r>
          </w:p>
        </w:tc>
        <w:tc>
          <w:tcPr>
            <w:tcW w:type="dxa" w:w="6638"/>
            <w:shd w:val="clear" w:fill="F2F5F9"/>
          </w:tcPr>
          <w:p>
            <w:pPr>
              <w:spacing w:after="0" w:before="0"/>
            </w:pPr>
            <w:r>
              <w:rPr>
                <w:rFonts w:ascii="Arial" w:hAnsi="Arial"/>
                <w:b w:val="0"/>
                <w:color w:val="202020"/>
                <w:sz w:val="16"/>
              </w:rPr>
              <w:t>Configuration load, identity and access work, change management</w:t>
            </w:r>
          </w:p>
        </w:tc>
      </w:tr>
      <w:tr>
        <w:tc>
          <w:tcPr>
            <w:tcW w:type="dxa" w:w="3110"/>
          </w:tcPr>
          <w:p>
            <w:pPr>
              <w:spacing w:after="0" w:before="0"/>
            </w:pPr>
            <w:r>
              <w:rPr>
                <w:rFonts w:ascii="Arial" w:hAnsi="Arial"/>
                <w:b w:val="0"/>
                <w:color w:val="202020"/>
                <w:sz w:val="16"/>
              </w:rPr>
              <w:t>Route conditions</w:t>
            </w:r>
          </w:p>
        </w:tc>
        <w:tc>
          <w:tcPr>
            <w:tcW w:type="dxa" w:w="6638"/>
          </w:tcPr>
          <w:p>
            <w:pPr>
              <w:spacing w:after="0" w:before="0"/>
            </w:pPr>
            <w:r>
              <w:rPr>
                <w:rFonts w:ascii="Arial" w:hAnsi="Arial"/>
                <w:b w:val="0"/>
                <w:color w:val="202020"/>
                <w:sz w:val="16"/>
              </w:rPr>
              <w:t>Organizational readiness, competing initiatives, adoption friction</w:t>
            </w:r>
          </w:p>
        </w:tc>
      </w:tr>
      <w:tr>
        <w:tc>
          <w:tcPr>
            <w:tcW w:type="dxa" w:w="3110"/>
            <w:shd w:val="clear" w:fill="F2F5F9"/>
          </w:tcPr>
          <w:p>
            <w:pPr>
              <w:spacing w:after="0" w:before="0"/>
            </w:pPr>
            <w:r>
              <w:rPr>
                <w:rFonts w:ascii="Arial" w:hAnsi="Arial"/>
                <w:b w:val="0"/>
                <w:color w:val="202020"/>
                <w:sz w:val="16"/>
              </w:rPr>
              <w:t>Gate 1 — negative contribution</w:t>
            </w:r>
          </w:p>
        </w:tc>
        <w:tc>
          <w:tcPr>
            <w:tcW w:type="dxa" w:w="6638"/>
            <w:shd w:val="clear" w:fill="F2F5F9"/>
          </w:tcPr>
          <w:p>
            <w:pPr>
              <w:spacing w:after="0" w:before="0"/>
            </w:pPr>
            <w:r>
              <w:rPr>
                <w:rFonts w:ascii="Arial" w:hAnsi="Arial"/>
                <w:b w:val="0"/>
                <w:color w:val="202020"/>
                <w:sz w:val="16"/>
              </w:rPr>
              <w:t>Fails the business case; no measurable outcome to point at</w:t>
            </w:r>
          </w:p>
        </w:tc>
      </w:tr>
      <w:tr>
        <w:tc>
          <w:tcPr>
            <w:tcW w:type="dxa" w:w="3110"/>
          </w:tcPr>
          <w:p>
            <w:pPr>
              <w:spacing w:after="0" w:before="0"/>
            </w:pPr>
            <w:r>
              <w:rPr>
                <w:rFonts w:ascii="Arial" w:hAnsi="Arial"/>
                <w:b w:val="0"/>
                <w:color w:val="202020"/>
                <w:sz w:val="16"/>
              </w:rPr>
              <w:t>Gate 2 — deadhead over tolerance</w:t>
            </w:r>
          </w:p>
        </w:tc>
        <w:tc>
          <w:tcPr>
            <w:tcW w:type="dxa" w:w="6638"/>
          </w:tcPr>
          <w:p>
            <w:pPr>
              <w:spacing w:after="0" w:before="0"/>
            </w:pPr>
            <w:r>
              <w:rPr>
                <w:rFonts w:ascii="Arial" w:hAnsi="Arial"/>
                <w:b w:val="0"/>
                <w:color w:val="202020"/>
                <w:sz w:val="16"/>
              </w:rPr>
              <w:t>Integration or data-residency requirements exceed tolerance</w:t>
            </w:r>
          </w:p>
        </w:tc>
      </w:tr>
      <w:tr>
        <w:tc>
          <w:tcPr>
            <w:tcW w:type="dxa" w:w="3110"/>
            <w:shd w:val="clear" w:fill="F2F5F9"/>
          </w:tcPr>
          <w:p>
            <w:pPr>
              <w:spacing w:after="0" w:before="0"/>
            </w:pPr>
            <w:r>
              <w:rPr>
                <w:rFonts w:ascii="Arial" w:hAnsi="Arial"/>
                <w:b w:val="0"/>
                <w:color w:val="202020"/>
                <w:sz w:val="16"/>
              </w:rPr>
              <w:t>Gate 3 — infeasible or blacklisted</w:t>
            </w:r>
          </w:p>
        </w:tc>
        <w:tc>
          <w:tcPr>
            <w:tcW w:type="dxa" w:w="6638"/>
            <w:shd w:val="clear" w:fill="F2F5F9"/>
          </w:tcPr>
          <w:p>
            <w:pPr>
              <w:spacing w:after="0" w:before="0"/>
            </w:pPr>
            <w:r>
              <w:rPr>
                <w:rFonts w:ascii="Arial" w:hAnsi="Arial"/>
                <w:b w:val="0"/>
                <w:color w:val="202020"/>
                <w:sz w:val="16"/>
              </w:rPr>
              <w:t>Fails security, privacy, or regulatory review. Not negotiable.</w:t>
            </w:r>
          </w:p>
        </w:tc>
      </w:tr>
    </w:tbl>
    <w:p>
      <w:pPr>
        <w:spacing w:before="300" w:after="100"/>
        <w:keepNext w:val="1"/>
      </w:pPr>
      <w:r>
        <w:rPr>
          <w:rFonts w:ascii="Arial" w:hAnsi="Arial"/>
          <w:b/>
          <w:color w:val="1F3864"/>
          <w:sz w:val="23"/>
        </w:rPr>
        <w:t>WHAT THE SOURCE DATA COVERS</w:t>
      </w:r>
    </w:p>
    <w:p>
      <w:pPr>
        <w:spacing w:before="0" w:after="160"/>
      </w:pPr>
      <w:r>
        <w:rPr>
          <w:rFonts w:ascii="Arial" w:hAnsi="Arial"/>
          <w:b w:val="0"/>
          <w:i w:val="0"/>
          <w:color w:val="202020"/>
          <w:sz w:val="19"/>
        </w:rPr>
        <w:t>Every lifetime figure quoted here means life of the current tractor, not life of my time at this carrier, and the distinction is large enough that leaving it implicit would be misleading.</w:t>
      </w:r>
    </w:p>
    <w:tbl>
      <w:tblPr>
        <w:tblW w:type="auto" w:w="0"/>
        <w:jc w:val="left"/>
        <w:tblLayout w:type="fixed"/>
        <w:tblLook w:firstColumn="1" w:firstRow="1" w:lastColumn="0" w:lastRow="0" w:noHBand="0" w:noVBand="1" w:val="04A0"/>
        <w:tblBorders>
          <w:top w:val="single" w:sz="4" w:color="D6DCE4"/>
          <w:left w:val="single" w:sz="4" w:color="D6DCE4"/>
          <w:bottom w:val="single" w:sz="4" w:color="D6DCE4"/>
          <w:right w:val="single" w:sz="4" w:color="D6DCE4"/>
          <w:insideH w:val="single" w:sz="4" w:color="D6DCE4"/>
          <w:insideV w:val="single" w:sz="4" w:color="D6DCE4"/>
        </w:tblBorders>
        <w:tblCellMar>
          <w:top w:w="60" w:type="dxa"/>
          <w:left w:w="90" w:type="dxa"/>
          <w:bottom w:w="60" w:type="dxa"/>
          <w:right w:w="90" w:type="dxa"/>
        </w:tblCellMar>
        <w:tblLayout w:type="fixed"/>
        <w:tblW w:w="9748" w:type="dxa"/>
      </w:tblPr>
      <w:tblGrid>
        <w:gridCol w:w="2476"/>
        <w:gridCol w:w="7272"/>
      </w:tblGrid>
      <w:tr>
        <w:trPr>
          <w:tblHeader/>
        </w:trPr>
        <w:tc>
          <w:tcPr>
            <w:tcW w:type="dxa" w:w="2477"/>
            <w:shd w:val="clear" w:fill="1F3864"/>
          </w:tcPr>
          <w:p>
            <w:pPr>
              <w:spacing w:after="0" w:before="0"/>
            </w:pPr>
            <w:r>
              <w:rPr>
                <w:rFonts w:ascii="Arial" w:hAnsi="Arial"/>
                <w:b/>
                <w:color w:val="FFFFFF"/>
                <w:sz w:val="16"/>
              </w:rPr>
              <w:t>Period</w:t>
            </w:r>
          </w:p>
        </w:tc>
        <w:tc>
          <w:tcPr>
            <w:tcW w:type="dxa" w:w="7272"/>
            <w:shd w:val="clear" w:fill="1F3864"/>
          </w:tcPr>
          <w:p>
            <w:pPr>
              <w:spacing w:after="0" w:before="0"/>
            </w:pPr>
            <w:r>
              <w:rPr>
                <w:rFonts w:ascii="Arial" w:hAnsi="Arial"/>
                <w:b/>
                <w:color w:val="FFFFFF"/>
                <w:sz w:val="16"/>
              </w:rPr>
              <w:t>Status in these figures</w:t>
            </w:r>
          </w:p>
        </w:tc>
      </w:tr>
      <w:tr>
        <w:tc>
          <w:tcPr>
            <w:tcW w:type="dxa" w:w="2477"/>
          </w:tcPr>
          <w:p>
            <w:pPr>
              <w:spacing w:after="0" w:before="0"/>
            </w:pPr>
            <w:r>
              <w:rPr>
                <w:rFonts w:ascii="Arial" w:hAnsi="Arial"/>
                <w:b w:val="0"/>
                <w:color w:val="202020"/>
                <w:sz w:val="16"/>
              </w:rPr>
              <w:t>March 2018 — July 2018</w:t>
            </w:r>
          </w:p>
        </w:tc>
        <w:tc>
          <w:tcPr>
            <w:tcW w:type="dxa" w:w="7272"/>
          </w:tcPr>
          <w:p>
            <w:pPr>
              <w:spacing w:after="0" w:before="0"/>
            </w:pPr>
            <w:r>
              <w:rPr>
                <w:rFonts w:ascii="Arial" w:hAnsi="Arial"/>
                <w:b w:val="0"/>
                <w:color w:val="202020"/>
                <w:sz w:val="16"/>
              </w:rPr>
              <w:t>In a trainer’s truck, running the 50,000 miles required to earn an A-seat. Never my miles.</w:t>
            </w:r>
          </w:p>
        </w:tc>
      </w:tr>
      <w:tr>
        <w:tc>
          <w:tcPr>
            <w:tcW w:type="dxa" w:w="2477"/>
            <w:shd w:val="clear" w:fill="F2F5F9"/>
          </w:tcPr>
          <w:p>
            <w:pPr>
              <w:spacing w:after="0" w:before="0"/>
            </w:pPr>
            <w:r>
              <w:rPr>
                <w:rFonts w:ascii="Arial" w:hAnsi="Arial"/>
                <w:b w:val="0"/>
                <w:color w:val="202020"/>
                <w:sz w:val="16"/>
              </w:rPr>
              <w:t>July 2018 — December 2021</w:t>
            </w:r>
          </w:p>
        </w:tc>
        <w:tc>
          <w:tcPr>
            <w:tcW w:type="dxa" w:w="7272"/>
            <w:shd w:val="clear" w:fill="F2F5F9"/>
          </w:tcPr>
          <w:p>
            <w:pPr>
              <w:spacing w:after="0" w:before="0"/>
            </w:pPr>
            <w:r>
              <w:rPr>
                <w:rFonts w:ascii="Arial" w:hAnsi="Arial"/>
                <w:b w:val="0"/>
                <w:color w:val="202020"/>
                <w:sz w:val="16"/>
              </w:rPr>
              <w:t>My own tractor, roughly three and a half years. Absent from every figure in this document.</w:t>
            </w:r>
          </w:p>
        </w:tc>
      </w:tr>
      <w:tr>
        <w:tc>
          <w:tcPr>
            <w:tcW w:type="dxa" w:w="2477"/>
            <w:shd w:val="clear" w:fill="E4E9F0"/>
          </w:tcPr>
          <w:p>
            <w:pPr>
              <w:spacing w:after="0" w:before="0"/>
            </w:pPr>
            <w:r>
              <w:rPr>
                <w:rFonts w:ascii="Arial" w:hAnsi="Arial"/>
                <w:b/>
                <w:color w:val="202020"/>
                <w:sz w:val="16"/>
              </w:rPr>
              <w:t>January 2022 — present</w:t>
            </w:r>
          </w:p>
        </w:tc>
        <w:tc>
          <w:tcPr>
            <w:tcW w:type="dxa" w:w="7272"/>
            <w:shd w:val="clear" w:fill="E4E9F0"/>
          </w:tcPr>
          <w:p>
            <w:pPr>
              <w:spacing w:after="0" w:before="0"/>
            </w:pPr>
            <w:r>
              <w:rPr>
                <w:rFonts w:ascii="Arial" w:hAnsi="Arial"/>
                <w:b/>
                <w:color w:val="202020"/>
                <w:sz w:val="16"/>
              </w:rPr>
              <w:t>The current tractor. 237 weeks, 460,589 miles. This is the entire evidence base.</w:t>
            </w:r>
          </w:p>
        </w:tc>
      </w:tr>
    </w:tbl>
    <w:p>
      <w:pPr>
        <w:spacing w:before="0" w:after="80"/>
      </w:pPr>
      <w:r>
        <w:rPr>
          <w:rFonts w:ascii="Arial" w:hAnsi="Arial"/>
          <w:b w:val="0"/>
          <w:i w:val="0"/>
          <w:color w:val="202020"/>
          <w:sz w:val="19"/>
        </w:rPr>
      </w:r>
    </w:p>
    <w:p>
      <w:pPr>
        <w:spacing w:before="0" w:after="120"/>
      </w:pPr>
      <w:r>
        <w:rPr>
          <w:rFonts w:ascii="Arial" w:hAnsi="Arial"/>
          <w:b w:val="0"/>
          <w:i w:val="0"/>
          <w:color w:val="202020"/>
          <w:sz w:val="19"/>
        </w:rPr>
        <w:t xml:space="preserve">Prime resets lifetime totals when a driver takes a new lease or lease purchase, so the earlier operating history is not recoverable from this settlement. Tenure at the carrier is roughly eight and a half years; the source-checked window is four and a half of them. The prior tractor was turned in showing about 595,000 odometer miles from factory, and how many of those I put on it is not established by anything I can produce, so no rate is derived from that number here.</w:t>
      </w:r>
    </w:p>
    <w:p>
      <w:pPr>
        <w:spacing w:before="0" w:after="120"/>
      </w:pPr>
      <w:r>
        <w:rPr>
          <w:rFonts w:ascii="Arial" w:hAnsi="Arial"/>
          <w:b w:val="0"/>
          <w:i w:val="0"/>
          <w:color w:val="202020"/>
          <w:sz w:val="19"/>
        </w:rPr>
        <w:t>The gap is not neutral, which is the part worth saying out loud. I drove the previous truck into the ground and treated this one carefully because I was buying it. A cost stack built only from the careful years understates what a truck costs to run. That is the second reason the maintenance line sits above its observed value, and it is a reason a reader would have no way to discover from the settlement alone.</w:t>
      </w:r>
    </w:p>
    <w:p>
      <w:pPr>
        <w:spacing w:before="300" w:after="100"/>
        <w:keepNext w:val="1"/>
      </w:pPr>
      <w:r>
        <w:rPr>
          <w:rFonts w:ascii="Arial" w:hAnsi="Arial"/>
          <w:b/>
          <w:color w:val="1F3864"/>
          <w:sz w:val="23"/>
        </w:rPr>
        <w:t>EVIDENCE BOUNDARY</w:t>
      </w:r>
    </w:p>
    <w:p>
      <w:pPr>
        <w:spacing w:before="0" w:after="120"/>
      </w:pPr>
      <w:r>
        <w:rPr>
          <w:rFonts w:ascii="Arial" w:hAnsi="Arial"/>
          <w:b w:val="0"/>
          <w:i w:val="0"/>
          <w:color w:val="202020"/>
          <w:sz w:val="19"/>
        </w:rPr>
        <w:t xml:space="preserve">Cost-per-mile inputs in the unit economics table are derived from my own settlement history, using multi-year averages for fixed and variable components and the most recent three weeks as current-period figures. The explicitly labeled tire reserve is the exception: it is an industry placeholder because tire spend does not appear on the settlement. The source document is not distributed with this case study because it carries bank routing detail, customer names, and a second driver’s name.</w:t>
      </w:r>
    </w:p>
    <w:p>
      <w:pPr>
        <w:spacing w:before="0" w:after="120"/>
      </w:pPr>
      <w:r>
        <w:rPr>
          <w:rFonts w:ascii="Arial" w:hAnsi="Arial"/>
          <w:b w:val="0"/>
          <w:i w:val="0"/>
          <w:color w:val="202020"/>
          <w:sz w:val="19"/>
        </w:rPr>
        <w:t>Revenue and mileage for the 18 loads come from Prime app trip history. One of the eighteen has been reconciled to a settlement; the other seventeen have not, and that single reconciled load differed by 5.3% on total miles and $35.40 on revenue. One observation cannot establish a pattern and none has been assumed. Ratings are self-assigned after delivery and subjective by construction — outcome leaks into them. L-12 I marked a 5, then revised to a 7 once I separated a $220 citation from the quality of the decision to accept.</w:t>
      </w:r>
    </w:p>
    <w:p>
      <w:pPr>
        <w:spacing w:before="0" w:after="120"/>
      </w:pPr>
      <w:r>
        <w:rPr>
          <w:rFonts w:ascii="Arial" w:hAnsi="Arial"/>
          <w:b w:val="0"/>
          <w:i w:val="0"/>
          <w:color w:val="202020"/>
          <w:sz w:val="19"/>
        </w:rPr>
        <w:t>Drive hours derive from an assumed 52 mph average including fuel and inspection stops, not from ELD records. Dwell hours come from recall. The rate and time band boundaries were cut from the observed distribution of these same 18 loads, so the reported correlation is in-sample and optimistic by construction.</w:t>
      </w:r>
    </w:p>
    <w:p>
      <w:pPr>
        <w:spacing w:before="0" w:after="120"/>
      </w:pPr>
      <w:r>
        <w:rPr>
          <w:rFonts w:ascii="Arial" w:hAnsi="Arial"/>
          <w:b w:val="0"/>
          <w:i w:val="0"/>
          <w:color w:val="202020"/>
          <w:sz w:val="19"/>
        </w:rPr>
        <w:t>The largest gap is unchanged: all 18 loads were accepted. The model has never been scored against an offer I turned down, so nothing here speaks to its behavior on the decline side. Logging refused offers is the next step and the one that would change the most.</w:t>
      </w:r>
    </w:p>
    <w:p>
      <w:pPr>
        <w:spacing w:before="0" w:after="120"/>
      </w:pPr>
      <w:r>
        <w:rPr>
          <w:rFonts w:ascii="Arial" w:hAnsi="Arial"/>
          <w:b w:val="0"/>
          <w:i w:val="0"/>
          <w:color w:val="202020"/>
          <w:sz w:val="19"/>
        </w:rPr>
        <w:t xml:space="preserve">One cost line has no source document behind it. The $0.045 tire reserve is an industry placeholder, carried because Prime runs no tire fund for owner-operators and my tire spend never reaches a settlement. It is the weakest number in the stack.</w:t>
      </w:r>
    </w:p>
    <w:p>
      <w:pPr>
        <w:spacing w:before="0" w:after="120"/>
      </w:pPr>
      <w:r>
        <w:rPr>
          <w:rFonts w:ascii="Arial" w:hAnsi="Arial"/>
          <w:b w:val="0"/>
          <w:i w:val="0"/>
          <w:color w:val="5B6573"/>
          <w:sz w:val="17"/>
        </w:rPr>
        <w:t>Every assumption above sits in a labeled cell in the workbook. Replacing any of them recalculates every downstream result.</w:t>
      </w:r>
    </w:p>
    <w:p>
      <w:pPr>
        <w:spacing w:before="300" w:after="100"/>
        <w:keepNext w:val="1"/>
      </w:pPr>
      <w:r>
        <w:rPr>
          <w:rFonts w:ascii="Arial" w:hAnsi="Arial"/>
          <w:b/>
          <w:color w:val="1F3864"/>
          <w:sz w:val="23"/>
        </w:rPr>
        <w:t>ABOUT</w:t>
      </w:r>
    </w:p>
    <w:p>
      <w:pPr>
        <w:spacing w:before="0" w:after="120"/>
      </w:pPr>
      <w:r>
        <w:rPr>
          <w:rFonts w:ascii="Arial" w:hAnsi="Arial"/>
          <w:b w:val="0"/>
          <w:i w:val="0"/>
          <w:color w:val="202020"/>
          <w:sz w:val="19"/>
        </w:rPr>
        <w:t>Christopher D. Sheppard is a Marine Corps veteran, owner-operator, Microsoft PL-900 certified professional, and founder of Tee 2 Green Golf Labs. He builds applied AI systems, decision-support tools, and operating documentation, and is moving from regulated field operations into enterprise AI platform delivery and business systems work.</w:t>
      </w:r>
    </w:p>
    <w:p>
      <w:pPr>
        <w:spacing w:before="0" w:after="120"/>
      </w:pPr>
      <w:r>
        <w:rPr>
          <w:rFonts w:ascii="Arial" w:hAnsi="Arial"/>
          <w:b w:val="0"/>
          <w:i w:val="0"/>
          <w:color w:val="0F6E64"/>
          <w:sz w:val="18"/>
        </w:rPr>
        <w:t xml:space="preserve">linkedin.com/in/christopherdsheppard</w:t>
      </w:r>
    </w:p>
    <w:sectPr w:rsidR="00FC693F" w:rsidRPr="0006063C" w:rsidSect="00034616">
      <w:pgSz w:w="11906" w:h="16838"/>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83" w:lineRule="auto"/>
    </w:pPr>
    <w:rPr>
      <w:rFonts w:ascii="Arial" w:hAnsi="Arial" w:eastAsia="Arial"/>
      <w:color w:val="20202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