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7365D"/>
          <w:sz w:val="40"/>
        </w:rPr>
        <w:t>FREIGHT LOAD SELECTION &amp; PROFITABILITY MODEL</w:t>
      </w:r>
    </w:p>
    <w:p>
      <w:r>
        <w:rPr>
          <w:rFonts w:ascii="Arial" w:hAnsi="Arial"/>
          <w:i/>
          <w:color w:val="595959"/>
          <w:sz w:val="22"/>
        </w:rPr>
        <w:t>A transparent decision-support model built from completed loads, settlement history, explicit judgment criteria, and hard override gates</w:t>
      </w:r>
    </w:p>
    <w:p>
      <w:r>
        <w:rPr>
          <w:rFonts w:ascii="Arial" w:hAnsi="Arial"/>
          <w:color w:val="2F5597"/>
          <w:sz w:val="17"/>
        </w:rPr>
        <w:t>Christopher D. Sheppard  |  Business analysis and operations portfolio  |  Updated 13 August 2026</w:t>
      </w:r>
    </w:p>
    <w:p>
      <w:pPr>
        <w:spacing w:after="50"/>
      </w:pPr>
      <w:r>
        <w:rPr>
          <w:rFonts w:ascii="Arial" w:hAnsi="Arial"/>
          <w:b/>
          <w:color w:val="1F1F1F"/>
          <w:sz w:val="18"/>
        </w:rPr>
        <w:t xml:space="preserve">Public repository: </w:t>
      </w:r>
      <w:hyperlink r:id="rId11">
        <w:r>
          <w:rPr>
            <w:rFonts w:ascii="Arial" w:hAnsi="Arial"/>
            <w:color w:val="0563C1"/>
            <w:u w:val="single"/>
            <w:sz w:val="19"/>
          </w:rPr>
          <w:t>github.com/christopher-sheppard/freight-load-selection-model</w:t>
        </w:r>
      </w:hyperlink>
    </w:p>
    <w:tbl>
      <w:tblPr>
        <w:tblW w:type="auto" w:w="0"/>
        <w:jc w:val="center"/>
        <w:tblLayout w:type="autofit"/>
        <w:tblLook w:firstColumn="1" w:firstRow="1" w:lastColumn="0" w:lastRow="0" w:noHBand="0" w:noVBand="1" w:val="04A0"/>
        <w:tblBorders>
          <w:top w:val="single" w:sz="5" w:space="0" w:color="E6A8A8"/>
          <w:left w:val="single" w:sz="5" w:space="0" w:color="E6A8A8"/>
          <w:bottom w:val="single" w:sz="5" w:space="0" w:color="E6A8A8"/>
          <w:right w:val="single" w:sz="5" w:space="0" w:color="E6A8A8"/>
          <w:insideH w:val="single" w:sz="5" w:space="0" w:color="E6A8A8"/>
          <w:insideV w:val="single" w:sz="5" w:space="0" w:color="E6A8A8"/>
        </w:tblBorders>
      </w:tblPr>
      <w:tblGrid>
        <w:gridCol w:w="10282"/>
      </w:tblGrid>
      <w:tr>
        <w:tc>
          <w:tcPr>
            <w:tcW w:type="dxa" w:w="10282"/>
            <w:shd w:fill="FCE8E6"/>
            <w:tcMar>
              <w:top w:w="110" w:type="dxa"/>
              <w:start w:w="120" w:type="dxa"/>
              <w:bottom w:w="110" w:type="dxa"/>
              <w:end w:w="120" w:type="dxa"/>
            </w:tcMar>
          </w:tcPr>
          <w:p>
            <w:pPr>
              <w:spacing w:after="40"/>
            </w:pPr>
            <w:r>
              <w:rPr>
                <w:rFonts w:ascii="Arial" w:hAnsi="Arial"/>
                <w:b/>
                <w:color w:val="9C0006"/>
                <w:sz w:val="19"/>
              </w:rPr>
              <w:t xml:space="preserve">Version authority: </w:t>
            </w:r>
            <w:r>
              <w:rPr>
                <w:rFonts w:ascii="Arial" w:hAnsi="Arial"/>
                <w:color w:val="1F1F1F"/>
                <w:sz w:val="18"/>
              </w:rPr>
              <w:t>This version replaces the older illustrative seven-dimension workbook and case study. The current project is based on real completed loads and operating records. Never mix the two versions.</w:t>
            </w:r>
          </w:p>
        </w:tc>
      </w:tr>
    </w:tbl>
    <w:p>
      <w:pPr>
        <w:pStyle w:val="Heading1"/>
      </w:pPr>
      <w:r>
        <w:t>1. Operating Problem</w:t>
      </w:r>
    </w:p>
    <w:p>
      <w:r>
        <w:rPr>
          <w:rFonts w:ascii="Arial" w:hAnsi="Arial"/>
          <w:i w:val="0"/>
          <w:color w:val="1F1F1F"/>
          <w:sz w:val="19"/>
        </w:rPr>
        <w:t>A freight offer arrives as one attractive number: the rate. That number hides the empty miles, fuel, time, facility behavior, securement burden, route conditions, legal clock, and quality of the market at the destination. Two loads with the same headline rate can produce materially different contribution and consume very different amounts of a finite operating day.</w:t>
      </w:r>
    </w:p>
    <w:p>
      <w:r>
        <w:rPr>
          <w:rFonts w:ascii="Arial" w:hAnsi="Arial"/>
          <w:i w:val="0"/>
          <w:color w:val="1F1F1F"/>
          <w:sz w:val="19"/>
        </w:rPr>
        <w:t>Chris made these decisions thousands of times over eight years as a nationwide flatbed owner-operator. The judgment was real but lived mainly in his head, which meant it was hard to audit, hard to teach, and most vulnerable when fatigue or time pressure was highest.</w:t>
      </w:r>
    </w:p>
    <w:p>
      <w:pPr>
        <w:pStyle w:val="Heading1"/>
      </w:pPr>
      <w:r>
        <w:t>2. Design Objective</w:t>
      </w:r>
    </w:p>
    <w:p>
      <w:r>
        <w:rPr>
          <w:rFonts w:ascii="Arial" w:hAnsi="Arial"/>
          <w:i w:val="0"/>
          <w:color w:val="1F1F1F"/>
          <w:sz w:val="19"/>
        </w:rPr>
        <w:t>Convert a load offer into an explainable accept, negotiate, or decline decision by combining transparent unit economics, calculated performance measures, operator judgment, and hard gates for outcomes that should never be approved by a weighted average. The model had to be adjustable, formula-driven, and honest about what its small sample could and could not prove.</w:t>
      </w:r>
    </w:p>
    <w:p>
      <w:pPr>
        <w:pStyle w:val="Heading1"/>
      </w:pPr>
      <w:r>
        <w:t>3. Chris’s Role</w:t>
      </w:r>
    </w:p>
    <w:p>
      <w:r>
        <w:rPr>
          <w:rFonts w:ascii="Arial" w:hAnsi="Arial"/>
          <w:i w:val="0"/>
          <w:color w:val="1F1F1F"/>
          <w:sz w:val="19"/>
        </w:rPr>
        <w:t>Chris is the sole designer, builder, operator, source-data owner, and reviewer. He defined the cost stack, selected the decision dimensions, established thresholds and gates, entered completed-load data, reconciled model assumptions to operating records, and rewrote the model when the reconciliation exposed errors.</w:t>
      </w:r>
    </w:p>
    <w:p>
      <w:pPr>
        <w:pStyle w:val="Heading1"/>
      </w:pPr>
      <w:r>
        <w:t>4. Data Set and Evidence Boundary</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5141"/>
        <w:gridCol w:w="5141"/>
      </w:tblGrid>
      <w:tr>
        <w:trPr>
          <w:tblHeader w:val="true"/>
          <w:cantSplit/>
        </w:trPr>
        <w:tc>
          <w:tcPr>
            <w:tcW w:type="dxa" w:w="2880"/>
            <w:shd w:fill="17365D"/>
            <w:tcMar>
              <w:top w:w="80" w:type="dxa"/>
              <w:start w:w="90" w:type="dxa"/>
              <w:bottom w:w="80" w:type="dxa"/>
              <w:end w:w="90" w:type="dxa"/>
            </w:tcMar>
            <w:vAlign w:val="center"/>
          </w:tcPr>
          <w:p>
            <w:pPr>
              <w:jc w:val="left"/>
            </w:pPr>
            <w:r>
              <w:rPr>
                <w:rFonts w:ascii="Arial" w:hAnsi="Arial"/>
                <w:b/>
                <w:color w:val="FFFFFF"/>
                <w:sz w:val="16"/>
              </w:rPr>
              <w:t>Measure</w:t>
            </w:r>
          </w:p>
        </w:tc>
        <w:tc>
          <w:tcPr>
            <w:tcW w:type="dxa" w:w="7488"/>
            <w:shd w:fill="17365D"/>
            <w:tcMar>
              <w:top w:w="80" w:type="dxa"/>
              <w:start w:w="90" w:type="dxa"/>
              <w:bottom w:w="80" w:type="dxa"/>
              <w:end w:w="90" w:type="dxa"/>
            </w:tcMar>
            <w:vAlign w:val="center"/>
          </w:tcPr>
          <w:p>
            <w:pPr>
              <w:jc w:val="left"/>
            </w:pPr>
            <w:r>
              <w:rPr>
                <w:rFonts w:ascii="Arial" w:hAnsi="Arial"/>
                <w:b/>
                <w:color w:val="FFFFFF"/>
                <w:sz w:val="16"/>
              </w:rPr>
              <w:t>Current documented value</w:t>
            </w:r>
          </w:p>
        </w:tc>
      </w:tr>
      <w:tr>
        <w:trPr>
          <w:cantSplit/>
        </w:trPr>
        <w:tc>
          <w:tcPr>
            <w:tcW w:type="dxa" w:w="2880"/>
            <w:shd w:fill="FFFFFF"/>
            <w:tcMar>
              <w:top w:w="80" w:type="dxa"/>
              <w:start w:w="90" w:type="dxa"/>
              <w:bottom w:w="80" w:type="dxa"/>
              <w:end w:w="90" w:type="dxa"/>
            </w:tcMar>
            <w:vAlign w:val="top"/>
          </w:tcPr>
          <w:p>
            <w:r>
              <w:rPr>
                <w:rFonts w:ascii="Arial" w:hAnsi="Arial"/>
                <w:color w:val="1F1F1F"/>
                <w:sz w:val="16"/>
              </w:rPr>
              <w:t>Completed loads analyzed</w:t>
            </w:r>
          </w:p>
        </w:tc>
        <w:tc>
          <w:tcPr>
            <w:tcW w:type="dxa" w:w="7488"/>
            <w:shd w:fill="FFFFFF"/>
            <w:tcMar>
              <w:top w:w="80" w:type="dxa"/>
              <w:start w:w="90" w:type="dxa"/>
              <w:bottom w:w="80" w:type="dxa"/>
              <w:end w:w="90" w:type="dxa"/>
            </w:tcMar>
            <w:vAlign w:val="top"/>
          </w:tcPr>
          <w:p>
            <w:r>
              <w:rPr>
                <w:rFonts w:ascii="Arial" w:hAnsi="Arial"/>
                <w:color w:val="1F1F1F"/>
                <w:sz w:val="16"/>
              </w:rPr>
              <w:t>18</w:t>
            </w:r>
          </w:p>
        </w:tc>
      </w:tr>
      <w:tr>
        <w:trPr>
          <w:cantSplit/>
        </w:trPr>
        <w:tc>
          <w:tcPr>
            <w:tcW w:type="dxa" w:w="2880"/>
            <w:shd w:fill="F2F2F2"/>
            <w:tcMar>
              <w:top w:w="80" w:type="dxa"/>
              <w:start w:w="90" w:type="dxa"/>
              <w:bottom w:w="80" w:type="dxa"/>
              <w:end w:w="90" w:type="dxa"/>
            </w:tcMar>
            <w:vAlign w:val="top"/>
          </w:tcPr>
          <w:p>
            <w:r>
              <w:rPr>
                <w:rFonts w:ascii="Arial" w:hAnsi="Arial"/>
                <w:color w:val="1F1F1F"/>
                <w:sz w:val="16"/>
              </w:rPr>
              <w:t>Total miles</w:t>
            </w:r>
          </w:p>
        </w:tc>
        <w:tc>
          <w:tcPr>
            <w:tcW w:type="dxa" w:w="7488"/>
            <w:shd w:fill="F2F2F2"/>
            <w:tcMar>
              <w:top w:w="80" w:type="dxa"/>
              <w:start w:w="90" w:type="dxa"/>
              <w:bottom w:w="80" w:type="dxa"/>
              <w:end w:w="90" w:type="dxa"/>
            </w:tcMar>
            <w:vAlign w:val="top"/>
          </w:tcPr>
          <w:p>
            <w:r>
              <w:rPr>
                <w:rFonts w:ascii="Arial" w:hAnsi="Arial"/>
                <w:color w:val="1F1F1F"/>
                <w:sz w:val="16"/>
              </w:rPr>
              <w:t>19,214</w:t>
            </w:r>
          </w:p>
        </w:tc>
      </w:tr>
      <w:tr>
        <w:trPr>
          <w:cantSplit/>
        </w:trPr>
        <w:tc>
          <w:tcPr>
            <w:tcW w:type="dxa" w:w="2880"/>
            <w:shd w:fill="FFFFFF"/>
            <w:tcMar>
              <w:top w:w="80" w:type="dxa"/>
              <w:start w:w="90" w:type="dxa"/>
              <w:bottom w:w="80" w:type="dxa"/>
              <w:end w:w="90" w:type="dxa"/>
            </w:tcMar>
            <w:vAlign w:val="top"/>
          </w:tcPr>
          <w:p>
            <w:r>
              <w:rPr>
                <w:rFonts w:ascii="Arial" w:hAnsi="Arial"/>
                <w:color w:val="1F1F1F"/>
                <w:sz w:val="16"/>
              </w:rPr>
              <w:t>Revenue</w:t>
            </w:r>
          </w:p>
        </w:tc>
        <w:tc>
          <w:tcPr>
            <w:tcW w:type="dxa" w:w="7488"/>
            <w:shd w:fill="FFFFFF"/>
            <w:tcMar>
              <w:top w:w="80" w:type="dxa"/>
              <w:start w:w="90" w:type="dxa"/>
              <w:bottom w:w="80" w:type="dxa"/>
              <w:end w:w="90" w:type="dxa"/>
            </w:tcMar>
            <w:vAlign w:val="top"/>
          </w:tcPr>
          <w:p>
            <w:r>
              <w:rPr>
                <w:rFonts w:ascii="Arial" w:hAnsi="Arial"/>
                <w:color w:val="1F1F1F"/>
                <w:sz w:val="16"/>
              </w:rPr>
              <w:t>$41,501.02</w:t>
            </w:r>
          </w:p>
        </w:tc>
      </w:tr>
      <w:tr>
        <w:trPr>
          <w:cantSplit/>
        </w:trPr>
        <w:tc>
          <w:tcPr>
            <w:tcW w:type="dxa" w:w="2880"/>
            <w:shd w:fill="F2F2F2"/>
            <w:tcMar>
              <w:top w:w="80" w:type="dxa"/>
              <w:start w:w="90" w:type="dxa"/>
              <w:bottom w:w="80" w:type="dxa"/>
              <w:end w:w="90" w:type="dxa"/>
            </w:tcMar>
            <w:vAlign w:val="top"/>
          </w:tcPr>
          <w:p>
            <w:r>
              <w:rPr>
                <w:rFonts w:ascii="Arial" w:hAnsi="Arial"/>
                <w:color w:val="1F1F1F"/>
                <w:sz w:val="16"/>
              </w:rPr>
              <w:t>Blended gross rate</w:t>
            </w:r>
          </w:p>
        </w:tc>
        <w:tc>
          <w:tcPr>
            <w:tcW w:type="dxa" w:w="7488"/>
            <w:shd w:fill="F2F2F2"/>
            <w:tcMar>
              <w:top w:w="80" w:type="dxa"/>
              <w:start w:w="90" w:type="dxa"/>
              <w:bottom w:w="80" w:type="dxa"/>
              <w:end w:w="90" w:type="dxa"/>
            </w:tcMar>
            <w:vAlign w:val="top"/>
          </w:tcPr>
          <w:p>
            <w:r>
              <w:rPr>
                <w:rFonts w:ascii="Arial" w:hAnsi="Arial"/>
                <w:color w:val="1F1F1F"/>
                <w:sz w:val="16"/>
              </w:rPr>
              <w:t>$2.16 per mile</w:t>
            </w:r>
          </w:p>
        </w:tc>
      </w:tr>
      <w:tr>
        <w:trPr>
          <w:cantSplit/>
        </w:trPr>
        <w:tc>
          <w:tcPr>
            <w:tcW w:type="dxa" w:w="2880"/>
            <w:shd w:fill="FFFFFF"/>
            <w:tcMar>
              <w:top w:w="80" w:type="dxa"/>
              <w:start w:w="90" w:type="dxa"/>
              <w:bottom w:w="80" w:type="dxa"/>
              <w:end w:w="90" w:type="dxa"/>
            </w:tcMar>
            <w:vAlign w:val="top"/>
          </w:tcPr>
          <w:p>
            <w:r>
              <w:rPr>
                <w:rFonts w:ascii="Arial" w:hAnsi="Arial"/>
                <w:color w:val="1F1F1F"/>
                <w:sz w:val="16"/>
              </w:rPr>
              <w:t>Deadhead</w:t>
            </w:r>
          </w:p>
        </w:tc>
        <w:tc>
          <w:tcPr>
            <w:tcW w:type="dxa" w:w="7488"/>
            <w:shd w:fill="FFFFFF"/>
            <w:tcMar>
              <w:top w:w="80" w:type="dxa"/>
              <w:start w:w="90" w:type="dxa"/>
              <w:bottom w:w="80" w:type="dxa"/>
              <w:end w:w="90" w:type="dxa"/>
            </w:tcMar>
            <w:vAlign w:val="top"/>
          </w:tcPr>
          <w:p>
            <w:r>
              <w:rPr>
                <w:rFonts w:ascii="Arial" w:hAnsi="Arial"/>
                <w:color w:val="1F1F1F"/>
                <w:sz w:val="16"/>
              </w:rPr>
              <w:t>12.7%</w:t>
            </w:r>
          </w:p>
        </w:tc>
      </w:tr>
      <w:tr>
        <w:trPr>
          <w:cantSplit/>
        </w:trPr>
        <w:tc>
          <w:tcPr>
            <w:tcW w:type="dxa" w:w="2880"/>
            <w:shd w:fill="F2F2F2"/>
            <w:tcMar>
              <w:top w:w="80" w:type="dxa"/>
              <w:start w:w="90" w:type="dxa"/>
              <w:bottom w:w="80" w:type="dxa"/>
              <w:end w:w="90" w:type="dxa"/>
            </w:tcMar>
            <w:vAlign w:val="top"/>
          </w:tcPr>
          <w:p>
            <w:r>
              <w:rPr>
                <w:rFonts w:ascii="Arial" w:hAnsi="Arial"/>
                <w:color w:val="1F1F1F"/>
                <w:sz w:val="16"/>
              </w:rPr>
              <w:t>Cost source</w:t>
            </w:r>
          </w:p>
        </w:tc>
        <w:tc>
          <w:tcPr>
            <w:tcW w:type="dxa" w:w="7488"/>
            <w:shd w:fill="F2F2F2"/>
            <w:tcMar>
              <w:top w:w="80" w:type="dxa"/>
              <w:start w:w="90" w:type="dxa"/>
              <w:bottom w:w="80" w:type="dxa"/>
              <w:end w:w="90" w:type="dxa"/>
            </w:tcMar>
            <w:vAlign w:val="top"/>
          </w:tcPr>
          <w:p>
            <w:r>
              <w:rPr>
                <w:rFonts w:ascii="Arial" w:hAnsi="Arial"/>
                <w:color w:val="1F1F1F"/>
                <w:sz w:val="16"/>
              </w:rPr>
              <w:t>Owner-operator settlement history using multi-year averages and a recent three-week current-period view; tire reserve explicitly labeled as unsupported by a source document</w:t>
            </w:r>
          </w:p>
        </w:tc>
      </w:tr>
      <w:tr>
        <w:trPr>
          <w:cantSplit/>
        </w:trPr>
        <w:tc>
          <w:tcPr>
            <w:tcW w:type="dxa" w:w="2880"/>
            <w:shd w:fill="FFFFFF"/>
            <w:tcMar>
              <w:top w:w="80" w:type="dxa"/>
              <w:start w:w="90" w:type="dxa"/>
              <w:bottom w:w="80" w:type="dxa"/>
              <w:end w:w="90" w:type="dxa"/>
            </w:tcMar>
            <w:vAlign w:val="top"/>
          </w:tcPr>
          <w:p>
            <w:r>
              <w:rPr>
                <w:rFonts w:ascii="Arial" w:hAnsi="Arial"/>
                <w:color w:val="1F1F1F"/>
                <w:sz w:val="16"/>
              </w:rPr>
              <w:t>Ratings</w:t>
            </w:r>
          </w:p>
        </w:tc>
        <w:tc>
          <w:tcPr>
            <w:tcW w:type="dxa" w:w="7488"/>
            <w:shd w:fill="FFFFFF"/>
            <w:tcMar>
              <w:top w:w="80" w:type="dxa"/>
              <w:start w:w="90" w:type="dxa"/>
              <w:bottom w:w="80" w:type="dxa"/>
              <w:end w:w="90" w:type="dxa"/>
            </w:tcMar>
            <w:vAlign w:val="top"/>
          </w:tcPr>
          <w:p>
            <w:r>
              <w:rPr>
                <w:rFonts w:ascii="Arial" w:hAnsi="Arial"/>
                <w:color w:val="1F1F1F"/>
                <w:sz w:val="16"/>
              </w:rPr>
              <w:t>Assigned retrospectively after delivery; all 18 loads had been accepted</w:t>
            </w:r>
          </w:p>
        </w:tc>
      </w:tr>
    </w:tbl>
    <w:p>
      <w:pPr>
        <w:spacing w:after="0"/>
      </w:pPr>
    </w:p>
    <w:p>
      <w:r>
        <w:rPr>
          <w:rFonts w:ascii="Arial" w:hAnsi="Arial"/>
          <w:i w:val="0"/>
          <w:color w:val="1F1F1F"/>
          <w:sz w:val="19"/>
        </w:rPr>
        <w:t>These are actual operating figures from a single owner-operator. They are not third-party audited, they do not represent an industry benchmark, and the sample does not establish predictive validity. Customer and facility identities are anonymized; lane geography, mileage, and revenue remain unaltered in the public project.</w:t>
      </w:r>
    </w:p>
    <w:p>
      <w:pPr>
        <w:pStyle w:val="Heading1"/>
      </w:pPr>
      <w:r>
        <w:t>5. Model Structure</w:t>
      </w:r>
    </w:p>
    <w:p>
      <w:r>
        <w:rPr>
          <w:rFonts w:ascii="Arial" w:hAnsi="Arial"/>
          <w:i w:val="0"/>
          <w:color w:val="1F1F1F"/>
          <w:sz w:val="19"/>
        </w:rPr>
        <w:t>The current model uses eight dimensions. Three are calculated from the load’s economics; five are operator judgments recorded because the information does not appear on a rate sheet.</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3427"/>
        <w:gridCol w:w="3427"/>
        <w:gridCol w:w="3427"/>
      </w:tblGrid>
      <w:tr>
        <w:trPr>
          <w:tblHeader w:val="true"/>
          <w:cantSplit/>
        </w:trPr>
        <w:tc>
          <w:tcPr>
            <w:tcW w:type="dxa" w:w="1440"/>
            <w:shd w:fill="17365D"/>
            <w:tcMar>
              <w:top w:w="80" w:type="dxa"/>
              <w:start w:w="90" w:type="dxa"/>
              <w:bottom w:w="80" w:type="dxa"/>
              <w:end w:w="90" w:type="dxa"/>
            </w:tcMar>
            <w:vAlign w:val="center"/>
          </w:tcPr>
          <w:p>
            <w:pPr>
              <w:jc w:val="left"/>
            </w:pPr>
            <w:r>
              <w:rPr>
                <w:rFonts w:ascii="Arial" w:hAnsi="Arial"/>
                <w:b/>
                <w:color w:val="FFFFFF"/>
                <w:sz w:val="16"/>
              </w:rPr>
              <w:t>Type</w:t>
            </w:r>
          </w:p>
        </w:tc>
        <w:tc>
          <w:tcPr>
            <w:tcW w:type="dxa" w:w="3312"/>
            <w:shd w:fill="17365D"/>
            <w:tcMar>
              <w:top w:w="80" w:type="dxa"/>
              <w:start w:w="90" w:type="dxa"/>
              <w:bottom w:w="80" w:type="dxa"/>
              <w:end w:w="90" w:type="dxa"/>
            </w:tcMar>
            <w:vAlign w:val="center"/>
          </w:tcPr>
          <w:p>
            <w:pPr>
              <w:jc w:val="left"/>
            </w:pPr>
            <w:r>
              <w:rPr>
                <w:rFonts w:ascii="Arial" w:hAnsi="Arial"/>
                <w:b/>
                <w:color w:val="FFFFFF"/>
                <w:sz w:val="16"/>
              </w:rPr>
              <w:t>Dimension</w:t>
            </w:r>
          </w:p>
        </w:tc>
        <w:tc>
          <w:tcPr>
            <w:tcW w:type="dxa" w:w="5616"/>
            <w:shd w:fill="17365D"/>
            <w:tcMar>
              <w:top w:w="80" w:type="dxa"/>
              <w:start w:w="90" w:type="dxa"/>
              <w:bottom w:w="80" w:type="dxa"/>
              <w:end w:w="90" w:type="dxa"/>
            </w:tcMar>
            <w:vAlign w:val="center"/>
          </w:tcPr>
          <w:p>
            <w:pPr>
              <w:jc w:val="left"/>
            </w:pPr>
            <w:r>
              <w:rPr>
                <w:rFonts w:ascii="Arial" w:hAnsi="Arial"/>
                <w:b/>
                <w:color w:val="FFFFFF"/>
                <w:sz w:val="16"/>
              </w:rPr>
              <w:t>Why it matters</w:t>
            </w:r>
          </w:p>
        </w:tc>
      </w:tr>
      <w:tr>
        <w:trPr>
          <w:cantSplit/>
        </w:trPr>
        <w:tc>
          <w:tcPr>
            <w:tcW w:type="dxa" w:w="1440"/>
            <w:shd w:fill="FFFFFF"/>
            <w:tcMar>
              <w:top w:w="80" w:type="dxa"/>
              <w:start w:w="90" w:type="dxa"/>
              <w:bottom w:w="80" w:type="dxa"/>
              <w:end w:w="90" w:type="dxa"/>
            </w:tcMar>
            <w:vAlign w:val="top"/>
          </w:tcPr>
          <w:p>
            <w:r>
              <w:rPr>
                <w:rFonts w:ascii="Arial" w:hAnsi="Arial"/>
                <w:color w:val="1F1F1F"/>
                <w:sz w:val="16"/>
              </w:rPr>
              <w:t>Calculated</w:t>
            </w:r>
          </w:p>
        </w:tc>
        <w:tc>
          <w:tcPr>
            <w:tcW w:type="dxa" w:w="3312"/>
            <w:shd w:fill="FFFFFF"/>
            <w:tcMar>
              <w:top w:w="80" w:type="dxa"/>
              <w:start w:w="90" w:type="dxa"/>
              <w:bottom w:w="80" w:type="dxa"/>
              <w:end w:w="90" w:type="dxa"/>
            </w:tcMar>
            <w:vAlign w:val="top"/>
          </w:tcPr>
          <w:p>
            <w:r>
              <w:rPr>
                <w:rFonts w:ascii="Arial" w:hAnsi="Arial"/>
                <w:color w:val="1F1F1F"/>
                <w:sz w:val="16"/>
              </w:rPr>
              <w:t>Net dollars per total mile</w:t>
            </w:r>
          </w:p>
        </w:tc>
        <w:tc>
          <w:tcPr>
            <w:tcW w:type="dxa" w:w="5616"/>
            <w:shd w:fill="FFFFFF"/>
            <w:tcMar>
              <w:top w:w="80" w:type="dxa"/>
              <w:start w:w="90" w:type="dxa"/>
              <w:bottom w:w="80" w:type="dxa"/>
              <w:end w:w="90" w:type="dxa"/>
            </w:tcMar>
            <w:vAlign w:val="top"/>
          </w:tcPr>
          <w:p>
            <w:r>
              <w:rPr>
                <w:rFonts w:ascii="Arial" w:hAnsi="Arial"/>
                <w:color w:val="1F1F1F"/>
                <w:sz w:val="16"/>
              </w:rPr>
              <w:t>Measures contribution after all-in cost across loaded and empty miles.</w:t>
            </w:r>
          </w:p>
        </w:tc>
      </w:tr>
      <w:tr>
        <w:trPr>
          <w:cantSplit/>
        </w:trPr>
        <w:tc>
          <w:tcPr>
            <w:tcW w:type="dxa" w:w="1440"/>
            <w:shd w:fill="F2F2F2"/>
            <w:tcMar>
              <w:top w:w="80" w:type="dxa"/>
              <w:start w:w="90" w:type="dxa"/>
              <w:bottom w:w="80" w:type="dxa"/>
              <w:end w:w="90" w:type="dxa"/>
            </w:tcMar>
            <w:vAlign w:val="top"/>
          </w:tcPr>
          <w:p>
            <w:r>
              <w:rPr>
                <w:rFonts w:ascii="Arial" w:hAnsi="Arial"/>
                <w:color w:val="1F1F1F"/>
                <w:sz w:val="16"/>
              </w:rPr>
              <w:t>Calculated</w:t>
            </w:r>
          </w:p>
        </w:tc>
        <w:tc>
          <w:tcPr>
            <w:tcW w:type="dxa" w:w="3312"/>
            <w:shd w:fill="F2F2F2"/>
            <w:tcMar>
              <w:top w:w="80" w:type="dxa"/>
              <w:start w:w="90" w:type="dxa"/>
              <w:bottom w:w="80" w:type="dxa"/>
              <w:end w:w="90" w:type="dxa"/>
            </w:tcMar>
            <w:vAlign w:val="top"/>
          </w:tcPr>
          <w:p>
            <w:r>
              <w:rPr>
                <w:rFonts w:ascii="Arial" w:hAnsi="Arial"/>
                <w:color w:val="1F1F1F"/>
                <w:sz w:val="16"/>
              </w:rPr>
              <w:t>Net dollars per hour committed</w:t>
            </w:r>
          </w:p>
        </w:tc>
        <w:tc>
          <w:tcPr>
            <w:tcW w:type="dxa" w:w="5616"/>
            <w:shd w:fill="F2F2F2"/>
            <w:tcMar>
              <w:top w:w="80" w:type="dxa"/>
              <w:start w:w="90" w:type="dxa"/>
              <w:bottom w:w="80" w:type="dxa"/>
              <w:end w:w="90" w:type="dxa"/>
            </w:tcMar>
            <w:vAlign w:val="top"/>
          </w:tcPr>
          <w:p>
            <w:r>
              <w:rPr>
                <w:rFonts w:ascii="Arial" w:hAnsi="Arial"/>
                <w:color w:val="1F1F1F"/>
                <w:sz w:val="16"/>
              </w:rPr>
              <w:t>Reprices the operating clock and exposes loads that pay acceptably per mile but consume too much time.</w:t>
            </w:r>
          </w:p>
        </w:tc>
      </w:tr>
      <w:tr>
        <w:trPr>
          <w:cantSplit/>
        </w:trPr>
        <w:tc>
          <w:tcPr>
            <w:tcW w:type="dxa" w:w="1440"/>
            <w:shd w:fill="FFFFFF"/>
            <w:tcMar>
              <w:top w:w="80" w:type="dxa"/>
              <w:start w:w="90" w:type="dxa"/>
              <w:bottom w:w="80" w:type="dxa"/>
              <w:end w:w="90" w:type="dxa"/>
            </w:tcMar>
            <w:vAlign w:val="top"/>
          </w:tcPr>
          <w:p>
            <w:r>
              <w:rPr>
                <w:rFonts w:ascii="Arial" w:hAnsi="Arial"/>
                <w:color w:val="1F1F1F"/>
                <w:sz w:val="16"/>
              </w:rPr>
              <w:t>Calculated</w:t>
            </w:r>
          </w:p>
        </w:tc>
        <w:tc>
          <w:tcPr>
            <w:tcW w:type="dxa" w:w="3312"/>
            <w:shd w:fill="FFFFFF"/>
            <w:tcMar>
              <w:top w:w="80" w:type="dxa"/>
              <w:start w:w="90" w:type="dxa"/>
              <w:bottom w:w="80" w:type="dxa"/>
              <w:end w:w="90" w:type="dxa"/>
            </w:tcMar>
            <w:vAlign w:val="top"/>
          </w:tcPr>
          <w:p>
            <w:r>
              <w:rPr>
                <w:rFonts w:ascii="Arial" w:hAnsi="Arial"/>
                <w:color w:val="1F1F1F"/>
                <w:sz w:val="16"/>
              </w:rPr>
              <w:t>Deadhead percentage</w:t>
            </w:r>
          </w:p>
        </w:tc>
        <w:tc>
          <w:tcPr>
            <w:tcW w:type="dxa" w:w="5616"/>
            <w:shd w:fill="FFFFFF"/>
            <w:tcMar>
              <w:top w:w="80" w:type="dxa"/>
              <w:start w:w="90" w:type="dxa"/>
              <w:bottom w:w="80" w:type="dxa"/>
              <w:end w:w="90" w:type="dxa"/>
            </w:tcMar>
            <w:vAlign w:val="top"/>
          </w:tcPr>
          <w:p>
            <w:r>
              <w:rPr>
                <w:rFonts w:ascii="Arial" w:hAnsi="Arial"/>
                <w:color w:val="1F1F1F"/>
                <w:sz w:val="16"/>
              </w:rPr>
              <w:t>Makes empty miles visible as real cost and lost capacity.</w:t>
            </w:r>
          </w:p>
        </w:tc>
      </w:tr>
      <w:tr>
        <w:trPr>
          <w:cantSplit/>
        </w:trPr>
        <w:tc>
          <w:tcPr>
            <w:tcW w:type="dxa" w:w="1440"/>
            <w:shd w:fill="F2F2F2"/>
            <w:tcMar>
              <w:top w:w="80" w:type="dxa"/>
              <w:start w:w="90" w:type="dxa"/>
              <w:bottom w:w="80" w:type="dxa"/>
              <w:end w:w="90" w:type="dxa"/>
            </w:tcMar>
            <w:vAlign w:val="top"/>
          </w:tcPr>
          <w:p>
            <w:r>
              <w:rPr>
                <w:rFonts w:ascii="Arial" w:hAnsi="Arial"/>
                <w:color w:val="1F1F1F"/>
                <w:sz w:val="16"/>
              </w:rPr>
              <w:t>Judgment</w:t>
            </w:r>
          </w:p>
        </w:tc>
        <w:tc>
          <w:tcPr>
            <w:tcW w:type="dxa" w:w="3312"/>
            <w:shd w:fill="F2F2F2"/>
            <w:tcMar>
              <w:top w:w="80" w:type="dxa"/>
              <w:start w:w="90" w:type="dxa"/>
              <w:bottom w:w="80" w:type="dxa"/>
              <w:end w:w="90" w:type="dxa"/>
            </w:tcMar>
            <w:vAlign w:val="top"/>
          </w:tcPr>
          <w:p>
            <w:r>
              <w:rPr>
                <w:rFonts w:ascii="Arial" w:hAnsi="Arial"/>
                <w:color w:val="1F1F1F"/>
                <w:sz w:val="16"/>
              </w:rPr>
              <w:t>Destination value / reload strength</w:t>
            </w:r>
          </w:p>
        </w:tc>
        <w:tc>
          <w:tcPr>
            <w:tcW w:type="dxa" w:w="5616"/>
            <w:shd w:fill="F2F2F2"/>
            <w:tcMar>
              <w:top w:w="80" w:type="dxa"/>
              <w:start w:w="90" w:type="dxa"/>
              <w:bottom w:w="80" w:type="dxa"/>
              <w:end w:w="90" w:type="dxa"/>
            </w:tcMar>
            <w:vAlign w:val="top"/>
          </w:tcPr>
          <w:p>
            <w:r>
              <w:rPr>
                <w:rFonts w:ascii="Arial" w:hAnsi="Arial"/>
                <w:color w:val="1F1F1F"/>
                <w:sz w:val="16"/>
              </w:rPr>
              <w:t>Captures the quality of the market the truck lands in.</w:t>
            </w:r>
          </w:p>
        </w:tc>
      </w:tr>
      <w:tr>
        <w:trPr>
          <w:cantSplit/>
        </w:trPr>
        <w:tc>
          <w:tcPr>
            <w:tcW w:type="dxa" w:w="1440"/>
            <w:shd w:fill="FFFFFF"/>
            <w:tcMar>
              <w:top w:w="80" w:type="dxa"/>
              <w:start w:w="90" w:type="dxa"/>
              <w:bottom w:w="80" w:type="dxa"/>
              <w:end w:w="90" w:type="dxa"/>
            </w:tcMar>
            <w:vAlign w:val="top"/>
          </w:tcPr>
          <w:p>
            <w:r>
              <w:rPr>
                <w:rFonts w:ascii="Arial" w:hAnsi="Arial"/>
                <w:color w:val="1F1F1F"/>
                <w:sz w:val="16"/>
              </w:rPr>
              <w:t>Judgment</w:t>
            </w:r>
          </w:p>
        </w:tc>
        <w:tc>
          <w:tcPr>
            <w:tcW w:type="dxa" w:w="3312"/>
            <w:shd w:fill="FFFFFF"/>
            <w:tcMar>
              <w:top w:w="80" w:type="dxa"/>
              <w:start w:w="90" w:type="dxa"/>
              <w:bottom w:w="80" w:type="dxa"/>
              <w:end w:w="90" w:type="dxa"/>
            </w:tcMar>
            <w:vAlign w:val="top"/>
          </w:tcPr>
          <w:p>
            <w:r>
              <w:rPr>
                <w:rFonts w:ascii="Arial" w:hAnsi="Arial"/>
                <w:color w:val="1F1F1F"/>
                <w:sz w:val="16"/>
              </w:rPr>
              <w:t>Dwell and facility risk</w:t>
            </w:r>
          </w:p>
        </w:tc>
        <w:tc>
          <w:tcPr>
            <w:tcW w:type="dxa" w:w="5616"/>
            <w:shd w:fill="FFFFFF"/>
            <w:tcMar>
              <w:top w:w="80" w:type="dxa"/>
              <w:start w:w="90" w:type="dxa"/>
              <w:bottom w:w="80" w:type="dxa"/>
              <w:end w:w="90" w:type="dxa"/>
            </w:tcMar>
            <w:vAlign w:val="top"/>
          </w:tcPr>
          <w:p>
            <w:r>
              <w:rPr>
                <w:rFonts w:ascii="Arial" w:hAnsi="Arial"/>
                <w:color w:val="1F1F1F"/>
                <w:sz w:val="16"/>
              </w:rPr>
              <w:t>Captures delay patterns and operational friction not shown in the offer.</w:t>
            </w:r>
          </w:p>
        </w:tc>
      </w:tr>
      <w:tr>
        <w:trPr>
          <w:cantSplit/>
        </w:trPr>
        <w:tc>
          <w:tcPr>
            <w:tcW w:type="dxa" w:w="1440"/>
            <w:shd w:fill="F2F2F2"/>
            <w:tcMar>
              <w:top w:w="80" w:type="dxa"/>
              <w:start w:w="90" w:type="dxa"/>
              <w:bottom w:w="80" w:type="dxa"/>
              <w:end w:w="90" w:type="dxa"/>
            </w:tcMar>
            <w:vAlign w:val="top"/>
          </w:tcPr>
          <w:p>
            <w:r>
              <w:rPr>
                <w:rFonts w:ascii="Arial" w:hAnsi="Arial"/>
                <w:color w:val="1F1F1F"/>
                <w:sz w:val="16"/>
              </w:rPr>
              <w:t>Judgment</w:t>
            </w:r>
          </w:p>
        </w:tc>
        <w:tc>
          <w:tcPr>
            <w:tcW w:type="dxa" w:w="3312"/>
            <w:shd w:fill="F2F2F2"/>
            <w:tcMar>
              <w:top w:w="80" w:type="dxa"/>
              <w:start w:w="90" w:type="dxa"/>
              <w:bottom w:w="80" w:type="dxa"/>
              <w:end w:w="90" w:type="dxa"/>
            </w:tcMar>
            <w:vAlign w:val="top"/>
          </w:tcPr>
          <w:p>
            <w:r>
              <w:rPr>
                <w:rFonts w:ascii="Arial" w:hAnsi="Arial"/>
                <w:color w:val="1F1F1F"/>
                <w:sz w:val="16"/>
              </w:rPr>
              <w:t>Securement and handling burden</w:t>
            </w:r>
          </w:p>
        </w:tc>
        <w:tc>
          <w:tcPr>
            <w:tcW w:type="dxa" w:w="5616"/>
            <w:shd w:fill="F2F2F2"/>
            <w:tcMar>
              <w:top w:w="80" w:type="dxa"/>
              <w:start w:w="90" w:type="dxa"/>
              <w:bottom w:w="80" w:type="dxa"/>
              <w:end w:w="90" w:type="dxa"/>
            </w:tcMar>
            <w:vAlign w:val="top"/>
          </w:tcPr>
          <w:p>
            <w:r>
              <w:rPr>
                <w:rFonts w:ascii="Arial" w:hAnsi="Arial"/>
                <w:color w:val="1F1F1F"/>
                <w:sz w:val="16"/>
              </w:rPr>
              <w:t>Captures tarping, permits, complexity, and labor.</w:t>
            </w:r>
          </w:p>
        </w:tc>
      </w:tr>
      <w:tr>
        <w:trPr>
          <w:cantSplit/>
        </w:trPr>
        <w:tc>
          <w:tcPr>
            <w:tcW w:type="dxa" w:w="1440"/>
            <w:shd w:fill="FFFFFF"/>
            <w:tcMar>
              <w:top w:w="80" w:type="dxa"/>
              <w:start w:w="90" w:type="dxa"/>
              <w:bottom w:w="80" w:type="dxa"/>
              <w:end w:w="90" w:type="dxa"/>
            </w:tcMar>
            <w:vAlign w:val="top"/>
          </w:tcPr>
          <w:p>
            <w:r>
              <w:rPr>
                <w:rFonts w:ascii="Arial" w:hAnsi="Arial"/>
                <w:color w:val="1F1F1F"/>
                <w:sz w:val="16"/>
              </w:rPr>
              <w:t>Judgment</w:t>
            </w:r>
          </w:p>
        </w:tc>
        <w:tc>
          <w:tcPr>
            <w:tcW w:type="dxa" w:w="3312"/>
            <w:shd w:fill="FFFFFF"/>
            <w:tcMar>
              <w:top w:w="80" w:type="dxa"/>
              <w:start w:w="90" w:type="dxa"/>
              <w:bottom w:w="80" w:type="dxa"/>
              <w:end w:w="90" w:type="dxa"/>
            </w:tcMar>
            <w:vAlign w:val="top"/>
          </w:tcPr>
          <w:p>
            <w:r>
              <w:rPr>
                <w:rFonts w:ascii="Arial" w:hAnsi="Arial"/>
                <w:color w:val="1F1F1F"/>
                <w:sz w:val="16"/>
              </w:rPr>
              <w:t>Route conditions</w:t>
            </w:r>
          </w:p>
        </w:tc>
        <w:tc>
          <w:tcPr>
            <w:tcW w:type="dxa" w:w="5616"/>
            <w:shd w:fill="FFFFFF"/>
            <w:tcMar>
              <w:top w:w="80" w:type="dxa"/>
              <w:start w:w="90" w:type="dxa"/>
              <w:bottom w:w="80" w:type="dxa"/>
              <w:end w:w="90" w:type="dxa"/>
            </w:tcMar>
            <w:vAlign w:val="top"/>
          </w:tcPr>
          <w:p>
            <w:r>
              <w:rPr>
                <w:rFonts w:ascii="Arial" w:hAnsi="Arial"/>
                <w:color w:val="1F1F1F"/>
                <w:sz w:val="16"/>
              </w:rPr>
              <w:t>Captures terrain, weather, parking, restrictions, and other lane-specific operating risk.</w:t>
            </w:r>
          </w:p>
        </w:tc>
      </w:tr>
      <w:tr>
        <w:trPr>
          <w:cantSplit/>
        </w:trPr>
        <w:tc>
          <w:tcPr>
            <w:tcW w:type="dxa" w:w="1440"/>
            <w:shd w:fill="F2F2F2"/>
            <w:tcMar>
              <w:top w:w="80" w:type="dxa"/>
              <w:start w:w="90" w:type="dxa"/>
              <w:bottom w:w="80" w:type="dxa"/>
              <w:end w:w="90" w:type="dxa"/>
            </w:tcMar>
            <w:vAlign w:val="top"/>
          </w:tcPr>
          <w:p>
            <w:r>
              <w:rPr>
                <w:rFonts w:ascii="Arial" w:hAnsi="Arial"/>
                <w:color w:val="1F1F1F"/>
                <w:sz w:val="16"/>
              </w:rPr>
              <w:t>Judgment</w:t>
            </w:r>
          </w:p>
        </w:tc>
        <w:tc>
          <w:tcPr>
            <w:tcW w:type="dxa" w:w="3312"/>
            <w:shd w:fill="F2F2F2"/>
            <w:tcMar>
              <w:top w:w="80" w:type="dxa"/>
              <w:start w:w="90" w:type="dxa"/>
              <w:bottom w:w="80" w:type="dxa"/>
              <w:end w:w="90" w:type="dxa"/>
            </w:tcMar>
            <w:vAlign w:val="top"/>
          </w:tcPr>
          <w:p>
            <w:r>
              <w:rPr>
                <w:rFonts w:ascii="Arial" w:hAnsi="Arial"/>
                <w:color w:val="1F1F1F"/>
                <w:sz w:val="16"/>
              </w:rPr>
              <w:t>HOS and appointment feasibility</w:t>
            </w:r>
          </w:p>
        </w:tc>
        <w:tc>
          <w:tcPr>
            <w:tcW w:type="dxa" w:w="5616"/>
            <w:shd w:fill="F2F2F2"/>
            <w:tcMar>
              <w:top w:w="80" w:type="dxa"/>
              <w:start w:w="90" w:type="dxa"/>
              <w:bottom w:w="80" w:type="dxa"/>
              <w:end w:w="90" w:type="dxa"/>
            </w:tcMar>
            <w:vAlign w:val="top"/>
          </w:tcPr>
          <w:p>
            <w:r>
              <w:rPr>
                <w:rFonts w:ascii="Arial" w:hAnsi="Arial"/>
                <w:color w:val="1F1F1F"/>
                <w:sz w:val="16"/>
              </w:rPr>
              <w:t>Captures whether the move can be completed legally and realistically.</w:t>
            </w:r>
          </w:p>
        </w:tc>
      </w:tr>
    </w:tbl>
    <w:p>
      <w:pPr>
        <w:spacing w:after="0"/>
      </w:pPr>
    </w:p>
    <w:p>
      <w:pPr>
        <w:pStyle w:val="Heading1"/>
      </w:pPr>
      <w:r>
        <w:t>6. Hard Override Gates</w:t>
      </w:r>
    </w:p>
    <w:p>
      <w:r>
        <w:rPr>
          <w:rFonts w:ascii="Arial" w:hAnsi="Arial"/>
          <w:i w:val="0"/>
          <w:color w:val="1F1F1F"/>
          <w:sz w:val="19"/>
        </w:rPr>
        <w:t>A weighted score can be pulled upward by strong dimensions even when one condition makes the load unacceptable. Three gates therefore override the score:</w:t>
      </w:r>
    </w:p>
    <w:p>
      <w:pPr>
        <w:spacing w:after="50" w:line="240" w:lineRule="auto"/>
        <w:ind w:left="403" w:hanging="317"/>
      </w:pPr>
      <w:r>
        <w:rPr>
          <w:rFonts w:ascii="Arial" w:hAnsi="Arial"/>
          <w:b/>
          <w:color w:val="2F5597"/>
          <w:sz w:val="18"/>
        </w:rPr>
        <w:t xml:space="preserve">1. </w:t>
      </w:r>
      <w:r>
        <w:rPr>
          <w:rFonts w:ascii="Arial" w:hAnsi="Arial"/>
          <w:color w:val="1F1F1F"/>
          <w:sz w:val="18"/>
        </w:rPr>
        <w:t>Negative net contribution — the load does not cover the configured all-in cost.</w:t>
      </w:r>
    </w:p>
    <w:p>
      <w:pPr>
        <w:spacing w:after="50" w:line="240" w:lineRule="auto"/>
        <w:ind w:left="403" w:hanging="317"/>
      </w:pPr>
      <w:r>
        <w:rPr>
          <w:rFonts w:ascii="Arial" w:hAnsi="Arial"/>
          <w:b/>
          <w:color w:val="2F5597"/>
          <w:sz w:val="18"/>
        </w:rPr>
        <w:t xml:space="preserve">2. </w:t>
      </w:r>
      <w:r>
        <w:rPr>
          <w:rFonts w:ascii="Arial" w:hAnsi="Arial"/>
          <w:color w:val="1F1F1F"/>
          <w:sz w:val="18"/>
        </w:rPr>
        <w:t>Deadhead above the configured tolerance — empty miles consume fuel, hours, and equipment life without producing revenue.</w:t>
      </w:r>
    </w:p>
    <w:p>
      <w:pPr>
        <w:spacing w:after="50" w:line="240" w:lineRule="auto"/>
        <w:ind w:left="403" w:hanging="317"/>
      </w:pPr>
      <w:r>
        <w:rPr>
          <w:rFonts w:ascii="Arial" w:hAnsi="Arial"/>
          <w:b/>
          <w:color w:val="2F5597"/>
          <w:sz w:val="18"/>
        </w:rPr>
        <w:t xml:space="preserve">3. </w:t>
      </w:r>
      <w:r>
        <w:rPr>
          <w:rFonts w:ascii="Arial" w:hAnsi="Arial"/>
          <w:color w:val="1F1F1F"/>
          <w:sz w:val="18"/>
        </w:rPr>
        <w:t>Legal infeasibility or a blacklisted facility — the appointment cannot be made legally, or the facility risk has already been designated unacceptable.</w:t>
      </w:r>
    </w:p>
    <w:p>
      <w:r>
        <w:rPr>
          <w:rFonts w:ascii="Arial" w:hAnsi="Arial"/>
          <w:i w:val="0"/>
          <w:color w:val="1F1F1F"/>
          <w:sz w:val="19"/>
        </w:rPr>
        <w:t>This is the difference between a scoring exercise and an operating decision system: some failures are not tradeable against a high average.</w:t>
      </w:r>
    </w:p>
    <w:p>
      <w:pPr>
        <w:pStyle w:val="Heading1"/>
      </w:pPr>
      <w:r>
        <w:t>7. Reconciliation and the Errors It Found</w:t>
      </w:r>
    </w:p>
    <w:p>
      <w:r>
        <w:rPr>
          <w:rFonts w:ascii="Arial" w:hAnsi="Arial"/>
          <w:i w:val="0"/>
          <w:color w:val="1F1F1F"/>
          <w:sz w:val="19"/>
        </w:rPr>
        <w:t>The most valuable outcome was not a flattering score. It was discovering that earlier versions were sometimes close for the wrong reasons.</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3427"/>
        <w:gridCol w:w="3427"/>
        <w:gridCol w:w="3427"/>
      </w:tblGrid>
      <w:tr>
        <w:trPr>
          <w:tblHeader w:val="true"/>
          <w:cantSplit/>
        </w:trPr>
        <w:tc>
          <w:tcPr>
            <w:tcW w:type="dxa" w:w="2448"/>
            <w:shd w:fill="17365D"/>
            <w:tcMar>
              <w:top w:w="80" w:type="dxa"/>
              <w:start w:w="90" w:type="dxa"/>
              <w:bottom w:w="80" w:type="dxa"/>
              <w:end w:w="90" w:type="dxa"/>
            </w:tcMar>
            <w:vAlign w:val="center"/>
          </w:tcPr>
          <w:p>
            <w:pPr>
              <w:jc w:val="left"/>
            </w:pPr>
            <w:r>
              <w:rPr>
                <w:rFonts w:ascii="Arial" w:hAnsi="Arial"/>
                <w:b/>
                <w:color w:val="FFFFFF"/>
                <w:sz w:val="15"/>
              </w:rPr>
              <w:t>Issue found</w:t>
            </w:r>
          </w:p>
        </w:tc>
        <w:tc>
          <w:tcPr>
            <w:tcW w:type="dxa" w:w="3096"/>
            <w:shd w:fill="17365D"/>
            <w:tcMar>
              <w:top w:w="80" w:type="dxa"/>
              <w:start w:w="90" w:type="dxa"/>
              <w:bottom w:w="80" w:type="dxa"/>
              <w:end w:w="90" w:type="dxa"/>
            </w:tcMar>
            <w:vAlign w:val="center"/>
          </w:tcPr>
          <w:p>
            <w:pPr>
              <w:jc w:val="left"/>
            </w:pPr>
            <w:r>
              <w:rPr>
                <w:rFonts w:ascii="Arial" w:hAnsi="Arial"/>
                <w:b/>
                <w:color w:val="FFFFFF"/>
                <w:sz w:val="15"/>
              </w:rPr>
              <w:t>Earlier assumption</w:t>
            </w:r>
          </w:p>
        </w:tc>
        <w:tc>
          <w:tcPr>
            <w:tcW w:type="dxa" w:w="4824"/>
            <w:shd w:fill="17365D"/>
            <w:tcMar>
              <w:top w:w="80" w:type="dxa"/>
              <w:start w:w="90" w:type="dxa"/>
              <w:bottom w:w="80" w:type="dxa"/>
              <w:end w:w="90" w:type="dxa"/>
            </w:tcMar>
            <w:vAlign w:val="center"/>
          </w:tcPr>
          <w:p>
            <w:pPr>
              <w:jc w:val="left"/>
            </w:pPr>
            <w:r>
              <w:rPr>
                <w:rFonts w:ascii="Arial" w:hAnsi="Arial"/>
                <w:b/>
                <w:color w:val="FFFFFF"/>
                <w:sz w:val="15"/>
              </w:rPr>
              <w:t>Correction / lesson</w:t>
            </w:r>
          </w:p>
        </w:tc>
      </w:tr>
      <w:tr>
        <w:trPr>
          <w:cantSplit/>
        </w:trPr>
        <w:tc>
          <w:tcPr>
            <w:tcW w:type="dxa" w:w="2448"/>
            <w:shd w:fill="FFFFFF"/>
            <w:tcMar>
              <w:top w:w="80" w:type="dxa"/>
              <w:start w:w="90" w:type="dxa"/>
              <w:bottom w:w="80" w:type="dxa"/>
              <w:end w:w="90" w:type="dxa"/>
            </w:tcMar>
            <w:vAlign w:val="top"/>
          </w:tcPr>
          <w:p>
            <w:r>
              <w:rPr>
                <w:rFonts w:ascii="Arial" w:hAnsi="Arial"/>
                <w:color w:val="1F1F1F"/>
                <w:sz w:val="15"/>
              </w:rPr>
              <w:t>Truck payment that did not exist</w:t>
            </w:r>
          </w:p>
        </w:tc>
        <w:tc>
          <w:tcPr>
            <w:tcW w:type="dxa" w:w="3096"/>
            <w:shd w:fill="FFFFFF"/>
            <w:tcMar>
              <w:top w:w="80" w:type="dxa"/>
              <w:start w:w="90" w:type="dxa"/>
              <w:bottom w:w="80" w:type="dxa"/>
              <w:end w:w="90" w:type="dxa"/>
            </w:tcMar>
            <w:vAlign w:val="top"/>
          </w:tcPr>
          <w:p>
            <w:r>
              <w:rPr>
                <w:rFonts w:ascii="Arial" w:hAnsi="Arial"/>
                <w:color w:val="1F1F1F"/>
                <w:sz w:val="15"/>
              </w:rPr>
              <w:t>$0.280 per mile based on a $33,600 annual note</w:t>
            </w:r>
          </w:p>
        </w:tc>
        <w:tc>
          <w:tcPr>
            <w:tcW w:type="dxa" w:w="4824"/>
            <w:shd w:fill="FFFFFF"/>
            <w:tcMar>
              <w:top w:w="80" w:type="dxa"/>
              <w:start w:w="90" w:type="dxa"/>
              <w:bottom w:w="80" w:type="dxa"/>
              <w:end w:w="90" w:type="dxa"/>
            </w:tcMar>
            <w:vAlign w:val="top"/>
          </w:tcPr>
          <w:p>
            <w:r>
              <w:rPr>
                <w:rFonts w:ascii="Arial" w:hAnsi="Arial"/>
                <w:color w:val="1F1F1F"/>
                <w:sz w:val="15"/>
              </w:rPr>
              <w:t>The equipment is owned outright. The line was removed.</w:t>
            </w:r>
          </w:p>
        </w:tc>
      </w:tr>
      <w:tr>
        <w:trPr>
          <w:cantSplit/>
        </w:trPr>
        <w:tc>
          <w:tcPr>
            <w:tcW w:type="dxa" w:w="2448"/>
            <w:shd w:fill="F2F2F2"/>
            <w:tcMar>
              <w:top w:w="80" w:type="dxa"/>
              <w:start w:w="90" w:type="dxa"/>
              <w:bottom w:w="80" w:type="dxa"/>
              <w:end w:w="90" w:type="dxa"/>
            </w:tcMar>
            <w:vAlign w:val="top"/>
          </w:tcPr>
          <w:p>
            <w:r>
              <w:rPr>
                <w:rFonts w:ascii="Arial" w:hAnsi="Arial"/>
                <w:color w:val="1F1F1F"/>
                <w:sz w:val="15"/>
              </w:rPr>
              <w:t>Maintenance reserve</w:t>
            </w:r>
          </w:p>
        </w:tc>
        <w:tc>
          <w:tcPr>
            <w:tcW w:type="dxa" w:w="3096"/>
            <w:shd w:fill="F2F2F2"/>
            <w:tcMar>
              <w:top w:w="80" w:type="dxa"/>
              <w:start w:w="90" w:type="dxa"/>
              <w:bottom w:w="80" w:type="dxa"/>
              <w:end w:w="90" w:type="dxa"/>
            </w:tcMar>
            <w:vAlign w:val="top"/>
          </w:tcPr>
          <w:p>
            <w:r>
              <w:rPr>
                <w:rFonts w:ascii="Arial" w:hAnsi="Arial"/>
                <w:color w:val="1F1F1F"/>
                <w:sz w:val="15"/>
              </w:rPr>
              <w:t>$0.180 per mile</w:t>
            </w:r>
          </w:p>
        </w:tc>
        <w:tc>
          <w:tcPr>
            <w:tcW w:type="dxa" w:w="4824"/>
            <w:shd w:fill="F2F2F2"/>
            <w:tcMar>
              <w:top w:w="80" w:type="dxa"/>
              <w:start w:w="90" w:type="dxa"/>
              <w:bottom w:w="80" w:type="dxa"/>
              <w:end w:w="90" w:type="dxa"/>
            </w:tcMar>
            <w:vAlign w:val="top"/>
          </w:tcPr>
          <w:p>
            <w:r>
              <w:rPr>
                <w:rFonts w:ascii="Arial" w:hAnsi="Arial"/>
                <w:color w:val="1F1F1F"/>
                <w:sz w:val="15"/>
              </w:rPr>
              <w:t>Operating statement showed approximately $0.065; configured reserve was reduced but kept conservative.</w:t>
            </w:r>
          </w:p>
        </w:tc>
      </w:tr>
      <w:tr>
        <w:trPr>
          <w:cantSplit/>
        </w:trPr>
        <w:tc>
          <w:tcPr>
            <w:tcW w:type="dxa" w:w="2448"/>
            <w:shd w:fill="FFFFFF"/>
            <w:tcMar>
              <w:top w:w="80" w:type="dxa"/>
              <w:start w:w="90" w:type="dxa"/>
              <w:bottom w:w="80" w:type="dxa"/>
              <w:end w:w="90" w:type="dxa"/>
            </w:tcMar>
            <w:vAlign w:val="top"/>
          </w:tcPr>
          <w:p>
            <w:r>
              <w:rPr>
                <w:rFonts w:ascii="Arial" w:hAnsi="Arial"/>
                <w:color w:val="1F1F1F"/>
                <w:sz w:val="15"/>
              </w:rPr>
              <w:t>Fuel assumption</w:t>
            </w:r>
          </w:p>
        </w:tc>
        <w:tc>
          <w:tcPr>
            <w:tcW w:type="dxa" w:w="3096"/>
            <w:shd w:fill="FFFFFF"/>
            <w:tcMar>
              <w:top w:w="80" w:type="dxa"/>
              <w:start w:w="90" w:type="dxa"/>
              <w:bottom w:w="80" w:type="dxa"/>
              <w:end w:w="90" w:type="dxa"/>
            </w:tcMar>
            <w:vAlign w:val="top"/>
          </w:tcPr>
          <w:p>
            <w:r>
              <w:rPr>
                <w:rFonts w:ascii="Arial" w:hAnsi="Arial"/>
                <w:color w:val="1F1F1F"/>
                <w:sz w:val="15"/>
              </w:rPr>
              <w:t>$3.70 per gallon</w:t>
            </w:r>
          </w:p>
        </w:tc>
        <w:tc>
          <w:tcPr>
            <w:tcW w:type="dxa" w:w="4824"/>
            <w:shd w:fill="FFFFFF"/>
            <w:tcMar>
              <w:top w:w="80" w:type="dxa"/>
              <w:start w:w="90" w:type="dxa"/>
              <w:bottom w:w="80" w:type="dxa"/>
              <w:end w:w="90" w:type="dxa"/>
            </w:tcMar>
            <w:vAlign w:val="top"/>
          </w:tcPr>
          <w:p>
            <w:r>
              <w:rPr>
                <w:rFonts w:ascii="Arial" w:hAnsi="Arial"/>
                <w:color w:val="1F1F1F"/>
                <w:sz w:val="15"/>
              </w:rPr>
              <w:t>Actual source period was approximately $4.93 per gallon before the model was corrected for Chris’s real fuel treatment.</w:t>
            </w:r>
          </w:p>
        </w:tc>
      </w:tr>
      <w:tr>
        <w:trPr>
          <w:cantSplit/>
        </w:trPr>
        <w:tc>
          <w:tcPr>
            <w:tcW w:type="dxa" w:w="2448"/>
            <w:shd w:fill="F2F2F2"/>
            <w:tcMar>
              <w:top w:w="80" w:type="dxa"/>
              <w:start w:w="90" w:type="dxa"/>
              <w:bottom w:w="80" w:type="dxa"/>
              <w:end w:w="90" w:type="dxa"/>
            </w:tcMar>
            <w:vAlign w:val="top"/>
          </w:tcPr>
          <w:p>
            <w:r>
              <w:rPr>
                <w:rFonts w:ascii="Arial" w:hAnsi="Arial"/>
                <w:color w:val="1F1F1F"/>
                <w:sz w:val="15"/>
              </w:rPr>
              <w:t>Annual miles</w:t>
            </w:r>
          </w:p>
        </w:tc>
        <w:tc>
          <w:tcPr>
            <w:tcW w:type="dxa" w:w="3096"/>
            <w:shd w:fill="F2F2F2"/>
            <w:tcMar>
              <w:top w:w="80" w:type="dxa"/>
              <w:start w:w="90" w:type="dxa"/>
              <w:bottom w:w="80" w:type="dxa"/>
              <w:end w:w="90" w:type="dxa"/>
            </w:tcMar>
            <w:vAlign w:val="top"/>
          </w:tcPr>
          <w:p>
            <w:r>
              <w:rPr>
                <w:rFonts w:ascii="Arial" w:hAnsi="Arial"/>
                <w:color w:val="1F1F1F"/>
                <w:sz w:val="15"/>
              </w:rPr>
              <w:t>120,000 without a defensible basis</w:t>
            </w:r>
          </w:p>
        </w:tc>
        <w:tc>
          <w:tcPr>
            <w:tcW w:type="dxa" w:w="4824"/>
            <w:shd w:fill="F2F2F2"/>
            <w:tcMar>
              <w:top w:w="80" w:type="dxa"/>
              <w:start w:w="90" w:type="dxa"/>
              <w:bottom w:w="80" w:type="dxa"/>
              <w:end w:w="90" w:type="dxa"/>
            </w:tcMar>
            <w:vAlign w:val="top"/>
          </w:tcPr>
          <w:p>
            <w:r>
              <w:rPr>
                <w:rFonts w:ascii="Arial" w:hAnsi="Arial"/>
                <w:color w:val="1F1F1F"/>
                <w:sz w:val="15"/>
              </w:rPr>
              <w:t>Re-derived to approximately 114,400 from the source period.</w:t>
            </w:r>
          </w:p>
        </w:tc>
      </w:tr>
      <w:tr>
        <w:trPr>
          <w:cantSplit/>
        </w:trPr>
        <w:tc>
          <w:tcPr>
            <w:tcW w:type="dxa" w:w="2448"/>
            <w:shd w:fill="FFFFFF"/>
            <w:tcMar>
              <w:top w:w="80" w:type="dxa"/>
              <w:start w:w="90" w:type="dxa"/>
              <w:bottom w:w="80" w:type="dxa"/>
              <w:end w:w="90" w:type="dxa"/>
            </w:tcMar>
            <w:vAlign w:val="top"/>
          </w:tcPr>
          <w:p>
            <w:r>
              <w:rPr>
                <w:rFonts w:ascii="Arial" w:hAnsi="Arial"/>
                <w:color w:val="1F1F1F"/>
                <w:sz w:val="15"/>
              </w:rPr>
              <w:t>Tire cost</w:t>
            </w:r>
          </w:p>
        </w:tc>
        <w:tc>
          <w:tcPr>
            <w:tcW w:type="dxa" w:w="3096"/>
            <w:shd w:fill="FFFFFF"/>
            <w:tcMar>
              <w:top w:w="80" w:type="dxa"/>
              <w:start w:w="90" w:type="dxa"/>
              <w:bottom w:w="80" w:type="dxa"/>
              <w:end w:w="90" w:type="dxa"/>
            </w:tcMar>
            <w:vAlign w:val="top"/>
          </w:tcPr>
          <w:p>
            <w:r>
              <w:rPr>
                <w:rFonts w:ascii="Arial" w:hAnsi="Arial"/>
                <w:color w:val="1F1F1F"/>
                <w:sz w:val="15"/>
              </w:rPr>
              <w:t>Read incorrectly from settlement fund lines</w:t>
            </w:r>
          </w:p>
        </w:tc>
        <w:tc>
          <w:tcPr>
            <w:tcW w:type="dxa" w:w="4824"/>
            <w:shd w:fill="FFFFFF"/>
            <w:tcMar>
              <w:top w:w="80" w:type="dxa"/>
              <w:start w:w="90" w:type="dxa"/>
              <w:bottom w:w="80" w:type="dxa"/>
              <w:end w:w="90" w:type="dxa"/>
            </w:tcMar>
            <w:vAlign w:val="top"/>
          </w:tcPr>
          <w:p>
            <w:r>
              <w:rPr>
                <w:rFonts w:ascii="Arial" w:hAnsi="Arial"/>
                <w:color w:val="1F1F1F"/>
                <w:sz w:val="15"/>
              </w:rPr>
              <w:t>The settlement did not contain Chris’s personally purchased tires. The model retains a $0.045 reserve and labels it as the weakest unsupported line.</w:t>
            </w:r>
          </w:p>
        </w:tc>
      </w:tr>
    </w:tbl>
    <w:p>
      <w:pPr>
        <w:spacing w:after="0"/>
      </w:pPr>
    </w:p>
    <w:p>
      <w:pPr>
        <w:pStyle w:val="Heading1"/>
      </w:pPr>
      <w:r>
        <w:t>8. Cost Reconciliation</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2570"/>
        <w:gridCol w:w="2570"/>
        <w:gridCol w:w="2570"/>
        <w:gridCol w:w="2570"/>
      </w:tblGrid>
      <w:tr>
        <w:trPr>
          <w:tblHeader w:val="true"/>
          <w:cantSplit/>
        </w:trPr>
        <w:tc>
          <w:tcPr>
            <w:tcW w:type="dxa" w:w="2520"/>
            <w:shd w:fill="17365D"/>
            <w:tcMar>
              <w:top w:w="80" w:type="dxa"/>
              <w:start w:w="90" w:type="dxa"/>
              <w:bottom w:w="80" w:type="dxa"/>
              <w:end w:w="90" w:type="dxa"/>
            </w:tcMar>
            <w:vAlign w:val="center"/>
          </w:tcPr>
          <w:p>
            <w:pPr>
              <w:jc w:val="left"/>
            </w:pPr>
            <w:r>
              <w:rPr>
                <w:rFonts w:ascii="Arial" w:hAnsi="Arial"/>
                <w:b/>
                <w:color w:val="FFFFFF"/>
                <w:sz w:val="16"/>
              </w:rPr>
              <w:t>View</w:t>
            </w:r>
          </w:p>
        </w:tc>
        <w:tc>
          <w:tcPr>
            <w:tcW w:type="dxa" w:w="1440"/>
            <w:shd w:fill="17365D"/>
            <w:tcMar>
              <w:top w:w="80" w:type="dxa"/>
              <w:start w:w="90" w:type="dxa"/>
              <w:bottom w:w="80" w:type="dxa"/>
              <w:end w:w="90" w:type="dxa"/>
            </w:tcMar>
            <w:vAlign w:val="center"/>
          </w:tcPr>
          <w:p>
            <w:pPr>
              <w:jc w:val="left"/>
            </w:pPr>
            <w:r>
              <w:rPr>
                <w:rFonts w:ascii="Arial" w:hAnsi="Arial"/>
                <w:b/>
                <w:color w:val="FFFFFF"/>
                <w:sz w:val="16"/>
              </w:rPr>
              <w:t>Model</w:t>
            </w:r>
          </w:p>
        </w:tc>
        <w:tc>
          <w:tcPr>
            <w:tcW w:type="dxa" w:w="1440"/>
            <w:shd w:fill="17365D"/>
            <w:tcMar>
              <w:top w:w="80" w:type="dxa"/>
              <w:start w:w="90" w:type="dxa"/>
              <w:bottom w:w="80" w:type="dxa"/>
              <w:end w:w="90" w:type="dxa"/>
            </w:tcMar>
            <w:vAlign w:val="center"/>
          </w:tcPr>
          <w:p>
            <w:pPr>
              <w:jc w:val="left"/>
            </w:pPr>
            <w:r>
              <w:rPr>
                <w:rFonts w:ascii="Arial" w:hAnsi="Arial"/>
                <w:b/>
                <w:color w:val="FFFFFF"/>
                <w:sz w:val="16"/>
              </w:rPr>
              <w:t>Statement</w:t>
            </w:r>
          </w:p>
        </w:tc>
        <w:tc>
          <w:tcPr>
            <w:tcW w:type="dxa" w:w="4968"/>
            <w:shd w:fill="17365D"/>
            <w:tcMar>
              <w:top w:w="80" w:type="dxa"/>
              <w:start w:w="90" w:type="dxa"/>
              <w:bottom w:w="80" w:type="dxa"/>
              <w:end w:w="90" w:type="dxa"/>
            </w:tcMar>
            <w:vAlign w:val="center"/>
          </w:tcPr>
          <w:p>
            <w:pPr>
              <w:jc w:val="left"/>
            </w:pPr>
            <w:r>
              <w:rPr>
                <w:rFonts w:ascii="Arial" w:hAnsi="Arial"/>
                <w:b/>
                <w:color w:val="FFFFFF"/>
                <w:sz w:val="16"/>
              </w:rPr>
              <w:t>Interpretation</w:t>
            </w:r>
          </w:p>
        </w:tc>
      </w:tr>
      <w:tr>
        <w:trPr>
          <w:cantSplit/>
        </w:trPr>
        <w:tc>
          <w:tcPr>
            <w:tcW w:type="dxa" w:w="2520"/>
            <w:shd w:fill="FFFFFF"/>
            <w:tcMar>
              <w:top w:w="80" w:type="dxa"/>
              <w:start w:w="90" w:type="dxa"/>
              <w:bottom w:w="80" w:type="dxa"/>
              <w:end w:w="90" w:type="dxa"/>
            </w:tcMar>
            <w:vAlign w:val="top"/>
          </w:tcPr>
          <w:p>
            <w:r>
              <w:rPr>
                <w:rFonts w:ascii="Arial" w:hAnsi="Arial"/>
                <w:color w:val="1F1F1F"/>
                <w:sz w:val="16"/>
              </w:rPr>
              <w:t>Like-for-like arithmetic check</w:t>
            </w:r>
          </w:p>
        </w:tc>
        <w:tc>
          <w:tcPr>
            <w:tcW w:type="dxa" w:w="1440"/>
            <w:shd w:fill="FFFFFF"/>
            <w:tcMar>
              <w:top w:w="80" w:type="dxa"/>
              <w:start w:w="90" w:type="dxa"/>
              <w:bottom w:w="80" w:type="dxa"/>
              <w:end w:w="90" w:type="dxa"/>
            </w:tcMar>
            <w:vAlign w:val="top"/>
          </w:tcPr>
          <w:p>
            <w:r>
              <w:rPr>
                <w:rFonts w:ascii="Arial" w:hAnsi="Arial"/>
                <w:color w:val="1F1F1F"/>
                <w:sz w:val="16"/>
              </w:rPr>
              <w:t>$0.832/mi</w:t>
            </w:r>
          </w:p>
        </w:tc>
        <w:tc>
          <w:tcPr>
            <w:tcW w:type="dxa" w:w="1440"/>
            <w:shd w:fill="FFFFFF"/>
            <w:tcMar>
              <w:top w:w="80" w:type="dxa"/>
              <w:start w:w="90" w:type="dxa"/>
              <w:bottom w:w="80" w:type="dxa"/>
              <w:end w:w="90" w:type="dxa"/>
            </w:tcMar>
            <w:vAlign w:val="top"/>
          </w:tcPr>
          <w:p>
            <w:r>
              <w:rPr>
                <w:rFonts w:ascii="Arial" w:hAnsi="Arial"/>
                <w:color w:val="1F1F1F"/>
                <w:sz w:val="16"/>
              </w:rPr>
              <w:t>$0.838/mi</w:t>
            </w:r>
          </w:p>
        </w:tc>
        <w:tc>
          <w:tcPr>
            <w:tcW w:type="dxa" w:w="4968"/>
            <w:shd w:fill="FFFFFF"/>
            <w:tcMar>
              <w:top w:w="80" w:type="dxa"/>
              <w:start w:w="90" w:type="dxa"/>
              <w:bottom w:w="80" w:type="dxa"/>
              <w:end w:w="90" w:type="dxa"/>
            </w:tcMar>
            <w:vAlign w:val="top"/>
          </w:tcPr>
          <w:p>
            <w:r>
              <w:rPr>
                <w:rFonts w:ascii="Arial" w:hAnsi="Arial"/>
                <w:color w:val="1F1F1F"/>
                <w:sz w:val="16"/>
              </w:rPr>
              <w:t>$0.006 gap; arithmetic closely reconciles when the model uses statement values.</w:t>
            </w:r>
          </w:p>
        </w:tc>
      </w:tr>
      <w:tr>
        <w:trPr>
          <w:cantSplit/>
        </w:trPr>
        <w:tc>
          <w:tcPr>
            <w:tcW w:type="dxa" w:w="2520"/>
            <w:shd w:fill="F2F2F2"/>
            <w:tcMar>
              <w:top w:w="80" w:type="dxa"/>
              <w:start w:w="90" w:type="dxa"/>
              <w:bottom w:w="80" w:type="dxa"/>
              <w:end w:w="90" w:type="dxa"/>
            </w:tcMar>
            <w:vAlign w:val="top"/>
          </w:tcPr>
          <w:p>
            <w:r>
              <w:rPr>
                <w:rFonts w:ascii="Arial" w:hAnsi="Arial"/>
                <w:color w:val="1F1F1F"/>
                <w:sz w:val="16"/>
              </w:rPr>
              <w:t>Configured operating model</w:t>
            </w:r>
          </w:p>
        </w:tc>
        <w:tc>
          <w:tcPr>
            <w:tcW w:type="dxa" w:w="1440"/>
            <w:shd w:fill="F2F2F2"/>
            <w:tcMar>
              <w:top w:w="80" w:type="dxa"/>
              <w:start w:w="90" w:type="dxa"/>
              <w:bottom w:w="80" w:type="dxa"/>
              <w:end w:w="90" w:type="dxa"/>
            </w:tcMar>
            <w:vAlign w:val="top"/>
          </w:tcPr>
          <w:p>
            <w:r>
              <w:rPr>
                <w:rFonts w:ascii="Arial" w:hAnsi="Arial"/>
                <w:color w:val="1F1F1F"/>
                <w:sz w:val="16"/>
              </w:rPr>
              <w:t>$0.917/mi</w:t>
            </w:r>
          </w:p>
        </w:tc>
        <w:tc>
          <w:tcPr>
            <w:tcW w:type="dxa" w:w="1440"/>
            <w:shd w:fill="F2F2F2"/>
            <w:tcMar>
              <w:top w:w="80" w:type="dxa"/>
              <w:start w:w="90" w:type="dxa"/>
              <w:bottom w:w="80" w:type="dxa"/>
              <w:end w:w="90" w:type="dxa"/>
            </w:tcMar>
            <w:vAlign w:val="top"/>
          </w:tcPr>
          <w:p>
            <w:r>
              <w:rPr>
                <w:rFonts w:ascii="Arial" w:hAnsi="Arial"/>
                <w:color w:val="1F1F1F"/>
                <w:sz w:val="16"/>
              </w:rPr>
              <w:t>$0.838/mi</w:t>
            </w:r>
          </w:p>
        </w:tc>
        <w:tc>
          <w:tcPr>
            <w:tcW w:type="dxa" w:w="4968"/>
            <w:shd w:fill="F2F2F2"/>
            <w:tcMar>
              <w:top w:w="80" w:type="dxa"/>
              <w:start w:w="90" w:type="dxa"/>
              <w:bottom w:w="80" w:type="dxa"/>
              <w:end w:w="90" w:type="dxa"/>
            </w:tcMar>
            <w:vAlign w:val="top"/>
          </w:tcPr>
          <w:p>
            <w:r>
              <w:rPr>
                <w:rFonts w:ascii="Arial" w:hAnsi="Arial"/>
                <w:color w:val="1F1F1F"/>
                <w:sz w:val="16"/>
              </w:rPr>
              <w:t>$0.085 higher by deliberate reserves and normalization choices.</w:t>
            </w:r>
          </w:p>
        </w:tc>
      </w:tr>
    </w:tbl>
    <w:p>
      <w:pPr>
        <w:spacing w:after="0"/>
      </w:pPr>
    </w:p>
    <w:p>
      <w:r>
        <w:rPr>
          <w:rFonts w:ascii="Arial" w:hAnsi="Arial"/>
          <w:i w:val="0"/>
          <w:color w:val="1F1F1F"/>
          <w:sz w:val="19"/>
        </w:rPr>
        <w:t>The configured model is not supposed to match the statement exactly. It intentionally carries a maintenance reserve above the observed period, a tire reserve the statement does not contain, and a normalized annual-mile assumption. Quoting only the $0.006 arithmetic gap would imply the operating model and statement are the same; they are not.</w:t>
      </w:r>
    </w:p>
    <w:p>
      <w:pPr>
        <w:pStyle w:val="Heading1"/>
      </w:pPr>
      <w:r>
        <w:t>9. Validation Result — Including the Uncomfortable Part</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5141"/>
        <w:gridCol w:w="5141"/>
      </w:tblGrid>
      <w:tr>
        <w:trPr>
          <w:tblHeader w:val="true"/>
          <w:cantSplit/>
        </w:trPr>
        <w:tc>
          <w:tcPr>
            <w:tcW w:type="dxa" w:w="5328"/>
            <w:shd w:fill="17365D"/>
            <w:tcMar>
              <w:top w:w="80" w:type="dxa"/>
              <w:start w:w="90" w:type="dxa"/>
              <w:bottom w:w="80" w:type="dxa"/>
              <w:end w:w="90" w:type="dxa"/>
            </w:tcMar>
            <w:vAlign w:val="center"/>
          </w:tcPr>
          <w:p>
            <w:pPr>
              <w:jc w:val="left"/>
            </w:pPr>
            <w:r>
              <w:rPr>
                <w:rFonts w:ascii="Arial" w:hAnsi="Arial"/>
                <w:b/>
                <w:color w:val="FFFFFF"/>
                <w:sz w:val="16"/>
              </w:rPr>
              <w:t>Measure</w:t>
            </w:r>
          </w:p>
        </w:tc>
        <w:tc>
          <w:tcPr>
            <w:tcW w:type="dxa" w:w="5040"/>
            <w:shd w:fill="17365D"/>
            <w:tcMar>
              <w:top w:w="80" w:type="dxa"/>
              <w:start w:w="90" w:type="dxa"/>
              <w:bottom w:w="80" w:type="dxa"/>
              <w:end w:w="90" w:type="dxa"/>
            </w:tcMar>
            <w:vAlign w:val="center"/>
          </w:tcPr>
          <w:p>
            <w:pPr>
              <w:jc w:val="left"/>
            </w:pPr>
            <w:r>
              <w:rPr>
                <w:rFonts w:ascii="Arial" w:hAnsi="Arial"/>
                <w:b/>
                <w:color w:val="FFFFFF"/>
                <w:sz w:val="16"/>
              </w:rPr>
              <w:t>Correlation with retrospective ratings</w:t>
            </w:r>
          </w:p>
        </w:tc>
      </w:tr>
      <w:tr>
        <w:trPr>
          <w:cantSplit/>
        </w:trPr>
        <w:tc>
          <w:tcPr>
            <w:tcW w:type="dxa" w:w="5328"/>
            <w:shd w:fill="FFFFFF"/>
            <w:tcMar>
              <w:top w:w="80" w:type="dxa"/>
              <w:start w:w="90" w:type="dxa"/>
              <w:bottom w:w="80" w:type="dxa"/>
              <w:end w:w="90" w:type="dxa"/>
            </w:tcMar>
            <w:vAlign w:val="top"/>
          </w:tcPr>
          <w:p>
            <w:r>
              <w:rPr>
                <w:rFonts w:ascii="Arial" w:hAnsi="Arial"/>
                <w:color w:val="1F1F1F"/>
                <w:sz w:val="16"/>
              </w:rPr>
              <w:t>Full weighted model score</w:t>
            </w:r>
          </w:p>
        </w:tc>
        <w:tc>
          <w:tcPr>
            <w:tcW w:type="dxa" w:w="5040"/>
            <w:shd w:fill="FFFFFF"/>
            <w:tcMar>
              <w:top w:w="80" w:type="dxa"/>
              <w:start w:w="90" w:type="dxa"/>
              <w:bottom w:w="80" w:type="dxa"/>
              <w:end w:w="90" w:type="dxa"/>
            </w:tcMar>
            <w:vAlign w:val="top"/>
          </w:tcPr>
          <w:p>
            <w:r>
              <w:rPr>
                <w:rFonts w:ascii="Arial" w:hAnsi="Arial"/>
                <w:color w:val="1F1F1F"/>
                <w:sz w:val="16"/>
              </w:rPr>
              <w:t>0.56</w:t>
            </w:r>
          </w:p>
        </w:tc>
      </w:tr>
      <w:tr>
        <w:trPr>
          <w:cantSplit/>
        </w:trPr>
        <w:tc>
          <w:tcPr>
            <w:tcW w:type="dxa" w:w="5328"/>
            <w:shd w:fill="F2F2F2"/>
            <w:tcMar>
              <w:top w:w="80" w:type="dxa"/>
              <w:start w:w="90" w:type="dxa"/>
              <w:bottom w:w="80" w:type="dxa"/>
              <w:end w:w="90" w:type="dxa"/>
            </w:tcMar>
            <w:vAlign w:val="top"/>
          </w:tcPr>
          <w:p>
            <w:r>
              <w:rPr>
                <w:rFonts w:ascii="Arial" w:hAnsi="Arial"/>
                <w:color w:val="1F1F1F"/>
                <w:sz w:val="16"/>
              </w:rPr>
              <w:t>Net dollars per mile alone</w:t>
            </w:r>
          </w:p>
        </w:tc>
        <w:tc>
          <w:tcPr>
            <w:tcW w:type="dxa" w:w="5040"/>
            <w:shd w:fill="F2F2F2"/>
            <w:tcMar>
              <w:top w:w="80" w:type="dxa"/>
              <w:start w:w="90" w:type="dxa"/>
              <w:bottom w:w="80" w:type="dxa"/>
              <w:end w:w="90" w:type="dxa"/>
            </w:tcMar>
            <w:vAlign w:val="top"/>
          </w:tcPr>
          <w:p>
            <w:r>
              <w:rPr>
                <w:rFonts w:ascii="Arial" w:hAnsi="Arial"/>
                <w:color w:val="1F1F1F"/>
                <w:sz w:val="16"/>
              </w:rPr>
              <w:t>0.62</w:t>
            </w:r>
          </w:p>
        </w:tc>
      </w:tr>
    </w:tbl>
    <w:p>
      <w:pPr>
        <w:spacing w:after="0"/>
      </w:pPr>
    </w:p>
    <w:p>
      <w:r>
        <w:rPr>
          <w:rFonts w:ascii="Arial" w:hAnsi="Arial"/>
          <w:i w:val="0"/>
          <w:color w:val="1F1F1F"/>
          <w:sz w:val="19"/>
        </w:rPr>
        <w:t>A single arithmetic measure tracked the 18 retrospective ratings better than the eight-dimension model. Chris did not re-tune the weights against only 18 rows to improve the reported correlation, because doing so would overfit the same tiny sample used for evaluation and make the result less credible.</w:t>
      </w:r>
    </w:p>
    <w:p>
      <w:r>
        <w:rPr>
          <w:rFonts w:ascii="Arial" w:hAnsi="Arial"/>
          <w:i w:val="0"/>
          <w:color w:val="1F1F1F"/>
          <w:sz w:val="19"/>
        </w:rPr>
        <w:t>The model is therefore presented as a transparent decision framework and reconciliation artifact—not as proof that a proprietary scoring system predicts better decisions.</w:t>
      </w:r>
    </w:p>
    <w:p>
      <w:pPr>
        <w:pStyle w:val="Heading1"/>
      </w:pPr>
      <w:r>
        <w:t>10. Known Limitations</w:t>
      </w:r>
    </w:p>
    <w:p>
      <w:pPr>
        <w:pStyle w:val="ListBullet"/>
      </w:pPr>
      <w:r>
        <w:rPr>
          <w:rFonts w:ascii="Arial" w:hAnsi="Arial"/>
          <w:color w:val="1F1F1F"/>
          <w:sz w:val="18"/>
        </w:rPr>
        <w:t>All 18 loads were accepted. The sample contains no actual decline decisions, so decline-gate performance is unvalidated.</w:t>
      </w:r>
    </w:p>
    <w:p>
      <w:pPr>
        <w:pStyle w:val="ListBullet"/>
      </w:pPr>
      <w:r>
        <w:rPr>
          <w:rFonts w:ascii="Arial" w:hAnsi="Arial"/>
          <w:color w:val="1F1F1F"/>
          <w:sz w:val="18"/>
        </w:rPr>
        <w:t>Ratings were assigned after delivery, allowing outcome information to influence the rating.</w:t>
      </w:r>
    </w:p>
    <w:p>
      <w:pPr>
        <w:pStyle w:val="ListBullet"/>
      </w:pPr>
      <w:r>
        <w:rPr>
          <w:rFonts w:ascii="Arial" w:hAnsi="Arial"/>
          <w:color w:val="1F1F1F"/>
          <w:sz w:val="18"/>
        </w:rPr>
        <w:t>Only one of the 18 loads is directly reconciled to a settlement at the trip level; one observation is not a pattern.</w:t>
      </w:r>
    </w:p>
    <w:p>
      <w:pPr>
        <w:pStyle w:val="ListBullet"/>
      </w:pPr>
      <w:r>
        <w:rPr>
          <w:rFonts w:ascii="Arial" w:hAnsi="Arial"/>
          <w:color w:val="1F1F1F"/>
          <w:sz w:val="18"/>
        </w:rPr>
        <w:t>The tire reserve has no supporting source document and is explicitly labeled as an industry-based reserve.</w:t>
      </w:r>
    </w:p>
    <w:p>
      <w:pPr>
        <w:pStyle w:val="ListBullet"/>
      </w:pPr>
      <w:r>
        <w:rPr>
          <w:rFonts w:ascii="Arial" w:hAnsi="Arial"/>
          <w:color w:val="1F1F1F"/>
          <w:sz w:val="18"/>
        </w:rPr>
        <w:t>Threshold bands were derived using the same small sample reported in the analysis, making results in-sample and optimistic.</w:t>
      </w:r>
    </w:p>
    <w:p>
      <w:pPr>
        <w:pStyle w:val="ListBullet"/>
      </w:pPr>
      <w:r>
        <w:rPr>
          <w:rFonts w:ascii="Arial" w:hAnsi="Arial"/>
          <w:color w:val="1F1F1F"/>
          <w:sz w:val="18"/>
        </w:rPr>
        <w:t>The available operating statement covers one tractor from January 2022 forward. Earlier owner-operator years are not fully recoverable from the same source.</w:t>
      </w:r>
    </w:p>
    <w:p>
      <w:pPr>
        <w:pStyle w:val="Heading1"/>
      </w:pPr>
      <w:r>
        <w:t>11. What the Model Demonstrates</w:t>
      </w:r>
    </w:p>
    <w:p>
      <w:pPr>
        <w:pStyle w:val="ListBullet"/>
      </w:pPr>
      <w:r>
        <w:rPr>
          <w:rFonts w:ascii="Arial" w:hAnsi="Arial"/>
          <w:color w:val="1F1F1F"/>
          <w:sz w:val="18"/>
        </w:rPr>
        <w:t>Business analysis: turning tacit judgment into explicit requirements, inputs, calculations, thresholds, gates, and definitions.</w:t>
      </w:r>
    </w:p>
    <w:p>
      <w:pPr>
        <w:pStyle w:val="ListBullet"/>
      </w:pPr>
      <w:r>
        <w:rPr>
          <w:rFonts w:ascii="Arial" w:hAnsi="Arial"/>
          <w:color w:val="1F1F1F"/>
          <w:sz w:val="18"/>
        </w:rPr>
        <w:t>Unit economics: separating variable and fixed cost and applying cost to loaded and empty miles.</w:t>
      </w:r>
    </w:p>
    <w:p>
      <w:pPr>
        <w:pStyle w:val="ListBullet"/>
      </w:pPr>
      <w:r>
        <w:rPr>
          <w:rFonts w:ascii="Arial" w:hAnsi="Arial"/>
          <w:color w:val="1F1F1F"/>
          <w:sz w:val="18"/>
        </w:rPr>
        <w:t>Decision-support design: combining calculated measures with labeled judgment rather than pretending everything is objective data.</w:t>
      </w:r>
    </w:p>
    <w:p>
      <w:pPr>
        <w:pStyle w:val="ListBullet"/>
      </w:pPr>
      <w:r>
        <w:rPr>
          <w:rFonts w:ascii="Arial" w:hAnsi="Arial"/>
          <w:color w:val="1F1F1F"/>
          <w:sz w:val="18"/>
        </w:rPr>
        <w:t>Data reconciliation: checking model assumptions against source records and publishing material corrections.</w:t>
      </w:r>
    </w:p>
    <w:p>
      <w:pPr>
        <w:pStyle w:val="ListBullet"/>
      </w:pPr>
      <w:r>
        <w:rPr>
          <w:rFonts w:ascii="Arial" w:hAnsi="Arial"/>
          <w:color w:val="1F1F1F"/>
          <w:sz w:val="18"/>
        </w:rPr>
        <w:t>Model governance: documenting assumptions, versions, limitations, evidence boundaries, and change logic.</w:t>
      </w:r>
    </w:p>
    <w:p>
      <w:pPr>
        <w:pStyle w:val="ListBullet"/>
      </w:pPr>
      <w:r>
        <w:rPr>
          <w:rFonts w:ascii="Arial" w:hAnsi="Arial"/>
          <w:color w:val="1F1F1F"/>
          <w:sz w:val="18"/>
        </w:rPr>
        <w:t>Operational judgment: balancing revenue, time, legal feasibility, facility behavior, route risk, and downstream market position.</w:t>
      </w:r>
    </w:p>
    <w:p>
      <w:pPr>
        <w:pStyle w:val="ListBullet"/>
      </w:pPr>
      <w:r>
        <w:rPr>
          <w:rFonts w:ascii="Arial" w:hAnsi="Arial"/>
          <w:color w:val="1F1F1F"/>
          <w:sz w:val="18"/>
        </w:rPr>
        <w:t>Intellectual honesty: reporting the result that a simpler metric outperformed the full score rather than tuning the model to a tiny sample.</w:t>
      </w:r>
    </w:p>
    <w:p>
      <w:pPr>
        <w:pStyle w:val="Heading1"/>
      </w:pPr>
      <w:r>
        <w:t>12. Enterprise Translation</w:t>
      </w:r>
    </w:p>
    <w:p>
      <w:r>
        <w:rPr>
          <w:rFonts w:ascii="Arial" w:hAnsi="Arial"/>
          <w:i w:val="0"/>
          <w:color w:val="1F1F1F"/>
          <w:sz w:val="19"/>
        </w:rPr>
        <w:t>The freight context is specific, but the decision pattern transfers to software, vendor, automation, and AI-platform evaluation: establish true total cost, separate calculated evidence from expert judgment, weight the criteria that matter, and use hard gates for security, privacy, legal, or business-case failures that an average should never override.</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5141"/>
        <w:gridCol w:w="5141"/>
      </w:tblGrid>
      <w:tr>
        <w:trPr>
          <w:tblHeader w:val="true"/>
          <w:cantSplit/>
        </w:trPr>
        <w:tc>
          <w:tcPr>
            <w:tcW w:type="dxa" w:w="3456"/>
            <w:shd w:fill="17365D"/>
            <w:tcMar>
              <w:top w:w="80" w:type="dxa"/>
              <w:start w:w="90" w:type="dxa"/>
              <w:bottom w:w="80" w:type="dxa"/>
              <w:end w:w="90" w:type="dxa"/>
            </w:tcMar>
            <w:vAlign w:val="center"/>
          </w:tcPr>
          <w:p>
            <w:pPr>
              <w:jc w:val="left"/>
            </w:pPr>
            <w:r>
              <w:rPr>
                <w:rFonts w:ascii="Arial" w:hAnsi="Arial"/>
                <w:b/>
                <w:color w:val="FFFFFF"/>
                <w:sz w:val="16"/>
              </w:rPr>
              <w:t>Freight decision</w:t>
            </w:r>
          </w:p>
        </w:tc>
        <w:tc>
          <w:tcPr>
            <w:tcW w:type="dxa" w:w="6912"/>
            <w:shd w:fill="17365D"/>
            <w:tcMar>
              <w:top w:w="80" w:type="dxa"/>
              <w:start w:w="90" w:type="dxa"/>
              <w:bottom w:w="80" w:type="dxa"/>
              <w:end w:w="90" w:type="dxa"/>
            </w:tcMar>
            <w:vAlign w:val="center"/>
          </w:tcPr>
          <w:p>
            <w:pPr>
              <w:jc w:val="left"/>
            </w:pPr>
            <w:r>
              <w:rPr>
                <w:rFonts w:ascii="Arial" w:hAnsi="Arial"/>
                <w:b/>
                <w:color w:val="FFFFFF"/>
                <w:sz w:val="16"/>
              </w:rPr>
              <w:t>Enterprise translation</w:t>
            </w:r>
          </w:p>
        </w:tc>
      </w:tr>
      <w:tr>
        <w:trPr>
          <w:cantSplit/>
        </w:trPr>
        <w:tc>
          <w:tcPr>
            <w:tcW w:type="dxa" w:w="3456"/>
            <w:shd w:fill="FFFFFF"/>
            <w:tcMar>
              <w:top w:w="80" w:type="dxa"/>
              <w:start w:w="90" w:type="dxa"/>
              <w:bottom w:w="80" w:type="dxa"/>
              <w:end w:w="90" w:type="dxa"/>
            </w:tcMar>
            <w:vAlign w:val="top"/>
          </w:tcPr>
          <w:p>
            <w:r>
              <w:rPr>
                <w:rFonts w:ascii="Arial" w:hAnsi="Arial"/>
                <w:color w:val="1F1F1F"/>
                <w:sz w:val="16"/>
              </w:rPr>
              <w:t>All-in cost per mile</w:t>
            </w:r>
          </w:p>
        </w:tc>
        <w:tc>
          <w:tcPr>
            <w:tcW w:type="dxa" w:w="6912"/>
            <w:shd w:fill="FFFFFF"/>
            <w:tcMar>
              <w:top w:w="80" w:type="dxa"/>
              <w:start w:w="90" w:type="dxa"/>
              <w:bottom w:w="80" w:type="dxa"/>
              <w:end w:w="90" w:type="dxa"/>
            </w:tcMar>
            <w:vAlign w:val="top"/>
          </w:tcPr>
          <w:p>
            <w:r>
              <w:rPr>
                <w:rFonts w:ascii="Arial" w:hAnsi="Arial"/>
                <w:color w:val="1F1F1F"/>
                <w:sz w:val="16"/>
              </w:rPr>
              <w:t>Total cost of ownership: licensing, consumption, integration, support, enablement, and rework</w:t>
            </w:r>
          </w:p>
        </w:tc>
      </w:tr>
      <w:tr>
        <w:trPr>
          <w:cantSplit/>
        </w:trPr>
        <w:tc>
          <w:tcPr>
            <w:tcW w:type="dxa" w:w="3456"/>
            <w:shd w:fill="F2F2F2"/>
            <w:tcMar>
              <w:top w:w="80" w:type="dxa"/>
              <w:start w:w="90" w:type="dxa"/>
              <w:bottom w:w="80" w:type="dxa"/>
              <w:end w:w="90" w:type="dxa"/>
            </w:tcMar>
            <w:vAlign w:val="top"/>
          </w:tcPr>
          <w:p>
            <w:r>
              <w:rPr>
                <w:rFonts w:ascii="Arial" w:hAnsi="Arial"/>
                <w:color w:val="1F1F1F"/>
                <w:sz w:val="16"/>
              </w:rPr>
              <w:t>Net dollars per hour</w:t>
            </w:r>
          </w:p>
        </w:tc>
        <w:tc>
          <w:tcPr>
            <w:tcW w:type="dxa" w:w="6912"/>
            <w:shd w:fill="F2F2F2"/>
            <w:tcMar>
              <w:top w:w="80" w:type="dxa"/>
              <w:start w:w="90" w:type="dxa"/>
              <w:bottom w:w="80" w:type="dxa"/>
              <w:end w:w="90" w:type="dxa"/>
            </w:tcMar>
            <w:vAlign w:val="top"/>
          </w:tcPr>
          <w:p>
            <w:r>
              <w:rPr>
                <w:rFonts w:ascii="Arial" w:hAnsi="Arial"/>
                <w:color w:val="1F1F1F"/>
                <w:sz w:val="16"/>
              </w:rPr>
              <w:t>Time to value and engineering/change-management effort consumed</w:t>
            </w:r>
          </w:p>
        </w:tc>
      </w:tr>
      <w:tr>
        <w:trPr>
          <w:cantSplit/>
        </w:trPr>
        <w:tc>
          <w:tcPr>
            <w:tcW w:type="dxa" w:w="3456"/>
            <w:shd w:fill="FFFFFF"/>
            <w:tcMar>
              <w:top w:w="80" w:type="dxa"/>
              <w:start w:w="90" w:type="dxa"/>
              <w:bottom w:w="80" w:type="dxa"/>
              <w:end w:w="90" w:type="dxa"/>
            </w:tcMar>
            <w:vAlign w:val="top"/>
          </w:tcPr>
          <w:p>
            <w:r>
              <w:rPr>
                <w:rFonts w:ascii="Arial" w:hAnsi="Arial"/>
                <w:color w:val="1F1F1F"/>
                <w:sz w:val="16"/>
              </w:rPr>
              <w:t>Deadhead</w:t>
            </w:r>
          </w:p>
        </w:tc>
        <w:tc>
          <w:tcPr>
            <w:tcW w:type="dxa" w:w="6912"/>
            <w:shd w:fill="FFFFFF"/>
            <w:tcMar>
              <w:top w:w="80" w:type="dxa"/>
              <w:start w:w="90" w:type="dxa"/>
              <w:bottom w:w="80" w:type="dxa"/>
              <w:end w:w="90" w:type="dxa"/>
            </w:tcMar>
            <w:vAlign w:val="top"/>
          </w:tcPr>
          <w:p>
            <w:r>
              <w:rPr>
                <w:rFonts w:ascii="Arial" w:hAnsi="Arial"/>
                <w:color w:val="1F1F1F"/>
                <w:sz w:val="16"/>
              </w:rPr>
              <w:t>Unrecoverable overhead, abandoned work, rework, and shadow processes</w:t>
            </w:r>
          </w:p>
        </w:tc>
      </w:tr>
      <w:tr>
        <w:trPr>
          <w:cantSplit/>
        </w:trPr>
        <w:tc>
          <w:tcPr>
            <w:tcW w:type="dxa" w:w="3456"/>
            <w:shd w:fill="F2F2F2"/>
            <w:tcMar>
              <w:top w:w="80" w:type="dxa"/>
              <w:start w:w="90" w:type="dxa"/>
              <w:bottom w:w="80" w:type="dxa"/>
              <w:end w:w="90" w:type="dxa"/>
            </w:tcMar>
            <w:vAlign w:val="top"/>
          </w:tcPr>
          <w:p>
            <w:r>
              <w:rPr>
                <w:rFonts w:ascii="Arial" w:hAnsi="Arial"/>
                <w:color w:val="1F1F1F"/>
                <w:sz w:val="16"/>
              </w:rPr>
              <w:t>Destination value</w:t>
            </w:r>
          </w:p>
        </w:tc>
        <w:tc>
          <w:tcPr>
            <w:tcW w:type="dxa" w:w="6912"/>
            <w:shd w:fill="F2F2F2"/>
            <w:tcMar>
              <w:top w:w="80" w:type="dxa"/>
              <w:start w:w="90" w:type="dxa"/>
              <w:bottom w:w="80" w:type="dxa"/>
              <w:end w:w="90" w:type="dxa"/>
            </w:tcMar>
            <w:vAlign w:val="top"/>
          </w:tcPr>
          <w:p>
            <w:r>
              <w:rPr>
                <w:rFonts w:ascii="Arial" w:hAnsi="Arial"/>
                <w:color w:val="1F1F1F"/>
                <w:sz w:val="16"/>
              </w:rPr>
              <w:t>Vendor roadmap, ecosystem, supportability, and where the decision leaves the organization</w:t>
            </w:r>
          </w:p>
        </w:tc>
      </w:tr>
      <w:tr>
        <w:trPr>
          <w:cantSplit/>
        </w:trPr>
        <w:tc>
          <w:tcPr>
            <w:tcW w:type="dxa" w:w="3456"/>
            <w:shd w:fill="FFFFFF"/>
            <w:tcMar>
              <w:top w:w="80" w:type="dxa"/>
              <w:start w:w="90" w:type="dxa"/>
              <w:bottom w:w="80" w:type="dxa"/>
              <w:end w:w="90" w:type="dxa"/>
            </w:tcMar>
            <w:vAlign w:val="top"/>
          </w:tcPr>
          <w:p>
            <w:r>
              <w:rPr>
                <w:rFonts w:ascii="Arial" w:hAnsi="Arial"/>
                <w:color w:val="1F1F1F"/>
                <w:sz w:val="16"/>
              </w:rPr>
              <w:t>Dwell/facility risk</w:t>
            </w:r>
          </w:p>
        </w:tc>
        <w:tc>
          <w:tcPr>
            <w:tcW w:type="dxa" w:w="6912"/>
            <w:shd w:fill="FFFFFF"/>
            <w:tcMar>
              <w:top w:w="80" w:type="dxa"/>
              <w:start w:w="90" w:type="dxa"/>
              <w:bottom w:w="80" w:type="dxa"/>
              <w:end w:w="90" w:type="dxa"/>
            </w:tcMar>
            <w:vAlign w:val="top"/>
          </w:tcPr>
          <w:p>
            <w:r>
              <w:rPr>
                <w:rFonts w:ascii="Arial" w:hAnsi="Arial"/>
                <w:color w:val="1F1F1F"/>
                <w:sz w:val="16"/>
              </w:rPr>
              <w:t>Support responsiveness, incident history, and operational drag</w:t>
            </w:r>
          </w:p>
        </w:tc>
      </w:tr>
      <w:tr>
        <w:trPr>
          <w:cantSplit/>
        </w:trPr>
        <w:tc>
          <w:tcPr>
            <w:tcW w:type="dxa" w:w="3456"/>
            <w:shd w:fill="F2F2F2"/>
            <w:tcMar>
              <w:top w:w="80" w:type="dxa"/>
              <w:start w:w="90" w:type="dxa"/>
              <w:bottom w:w="80" w:type="dxa"/>
              <w:end w:w="90" w:type="dxa"/>
            </w:tcMar>
            <w:vAlign w:val="top"/>
          </w:tcPr>
          <w:p>
            <w:r>
              <w:rPr>
                <w:rFonts w:ascii="Arial" w:hAnsi="Arial"/>
                <w:color w:val="1F1F1F"/>
                <w:sz w:val="16"/>
              </w:rPr>
              <w:t>Securement/route complexity</w:t>
            </w:r>
          </w:p>
        </w:tc>
        <w:tc>
          <w:tcPr>
            <w:tcW w:type="dxa" w:w="6912"/>
            <w:shd w:fill="F2F2F2"/>
            <w:tcMar>
              <w:top w:w="80" w:type="dxa"/>
              <w:start w:w="90" w:type="dxa"/>
              <w:bottom w:w="80" w:type="dxa"/>
              <w:end w:w="90" w:type="dxa"/>
            </w:tcMar>
            <w:vAlign w:val="top"/>
          </w:tcPr>
          <w:p>
            <w:r>
              <w:rPr>
                <w:rFonts w:ascii="Arial" w:hAnsi="Arial"/>
                <w:color w:val="1F1F1F"/>
                <w:sz w:val="16"/>
              </w:rPr>
              <w:t>Integration burden, identity work, data constraints, and change complexity</w:t>
            </w:r>
          </w:p>
        </w:tc>
      </w:tr>
      <w:tr>
        <w:trPr>
          <w:cantSplit/>
        </w:trPr>
        <w:tc>
          <w:tcPr>
            <w:tcW w:type="dxa" w:w="3456"/>
            <w:shd w:fill="FFFFFF"/>
            <w:tcMar>
              <w:top w:w="80" w:type="dxa"/>
              <w:start w:w="90" w:type="dxa"/>
              <w:bottom w:w="80" w:type="dxa"/>
              <w:end w:w="90" w:type="dxa"/>
            </w:tcMar>
            <w:vAlign w:val="top"/>
          </w:tcPr>
          <w:p>
            <w:r>
              <w:rPr>
                <w:rFonts w:ascii="Arial" w:hAnsi="Arial"/>
                <w:color w:val="1F1F1F"/>
                <w:sz w:val="16"/>
              </w:rPr>
              <w:t>Hard HOS/legal gate</w:t>
            </w:r>
          </w:p>
        </w:tc>
        <w:tc>
          <w:tcPr>
            <w:tcW w:type="dxa" w:w="6912"/>
            <w:shd w:fill="FFFFFF"/>
            <w:tcMar>
              <w:top w:w="80" w:type="dxa"/>
              <w:start w:w="90" w:type="dxa"/>
              <w:bottom w:w="80" w:type="dxa"/>
              <w:end w:w="90" w:type="dxa"/>
            </w:tcMar>
            <w:vAlign w:val="top"/>
          </w:tcPr>
          <w:p>
            <w:r>
              <w:rPr>
                <w:rFonts w:ascii="Arial" w:hAnsi="Arial"/>
                <w:color w:val="1F1F1F"/>
                <w:sz w:val="16"/>
              </w:rPr>
              <w:t>Security, privacy, regulatory, or policy failure that removes the decision from normal tradeoff</w:t>
            </w:r>
          </w:p>
        </w:tc>
      </w:tr>
    </w:tbl>
    <w:p>
      <w:pPr>
        <w:spacing w:after="0"/>
      </w:pPr>
    </w:p>
    <w:p>
      <w:pPr>
        <w:pStyle w:val="Heading1"/>
      </w:pPr>
      <w:r>
        <w:t>13. Approved Application Language</w:t>
      </w:r>
    </w:p>
    <w:tbl>
      <w:tblPr>
        <w:tblW w:type="auto" w:w="0"/>
        <w:jc w:val="center"/>
        <w:tblLayout w:type="fixed"/>
        <w:tblLook w:firstColumn="1" w:firstRow="1" w:lastColumn="0" w:lastRow="0" w:noHBand="0" w:noVBand="1" w:val="04A0"/>
        <w:tblBorders>
          <w:top w:val="single" w:sz="4" w:space="0" w:color="B7C9DC"/>
          <w:left w:val="single" w:sz="4" w:space="0" w:color="B7C9DC"/>
          <w:bottom w:val="single" w:sz="4" w:space="0" w:color="B7C9DC"/>
          <w:right w:val="single" w:sz="4" w:space="0" w:color="B7C9DC"/>
          <w:insideH w:val="single" w:sz="4" w:space="0" w:color="B7C9DC"/>
          <w:insideV w:val="single" w:sz="4" w:space="0" w:color="B7C9DC"/>
        </w:tblBorders>
      </w:tblPr>
      <w:tblGrid>
        <w:gridCol w:w="5141"/>
        <w:gridCol w:w="5141"/>
      </w:tblGrid>
      <w:tr>
        <w:trPr>
          <w:tblHeader w:val="true"/>
          <w:cantSplit/>
        </w:trPr>
        <w:tc>
          <w:tcPr>
            <w:tcW w:type="dxa" w:w="5184"/>
            <w:shd w:fill="17365D"/>
            <w:tcMar>
              <w:top w:w="80" w:type="dxa"/>
              <w:start w:w="90" w:type="dxa"/>
              <w:bottom w:w="80" w:type="dxa"/>
              <w:end w:w="90" w:type="dxa"/>
            </w:tcMar>
            <w:vAlign w:val="center"/>
          </w:tcPr>
          <w:p>
            <w:pPr>
              <w:jc w:val="left"/>
            </w:pPr>
            <w:r>
              <w:rPr>
                <w:rFonts w:ascii="Arial" w:hAnsi="Arial"/>
                <w:b/>
                <w:color w:val="FFFFFF"/>
                <w:sz w:val="16"/>
              </w:rPr>
              <w:t>Safe wording</w:t>
            </w:r>
          </w:p>
        </w:tc>
        <w:tc>
          <w:tcPr>
            <w:tcW w:type="dxa" w:w="5184"/>
            <w:shd w:fill="17365D"/>
            <w:tcMar>
              <w:top w:w="80" w:type="dxa"/>
              <w:start w:w="90" w:type="dxa"/>
              <w:bottom w:w="80" w:type="dxa"/>
              <w:end w:w="90" w:type="dxa"/>
            </w:tcMar>
            <w:vAlign w:val="center"/>
          </w:tcPr>
          <w:p>
            <w:pPr>
              <w:jc w:val="left"/>
            </w:pPr>
            <w:r>
              <w:rPr>
                <w:rFonts w:ascii="Arial" w:hAnsi="Arial"/>
                <w:b/>
                <w:color w:val="FFFFFF"/>
                <w:sz w:val="16"/>
              </w:rPr>
              <w:t>Do not claim</w:t>
            </w:r>
          </w:p>
        </w:tc>
      </w:tr>
      <w:tr>
        <w:trPr>
          <w:cantSplit/>
        </w:trPr>
        <w:tc>
          <w:tcPr>
            <w:tcW w:type="dxa" w:w="5184"/>
            <w:shd w:fill="FFFFFF"/>
            <w:tcMar>
              <w:top w:w="80" w:type="dxa"/>
              <w:start w:w="90" w:type="dxa"/>
              <w:bottom w:w="80" w:type="dxa"/>
              <w:end w:w="90" w:type="dxa"/>
            </w:tcMar>
            <w:vAlign w:val="top"/>
          </w:tcPr>
          <w:p>
            <w:r>
              <w:rPr>
                <w:rFonts w:ascii="Arial" w:hAnsi="Arial"/>
                <w:color w:val="1F1F1F"/>
                <w:sz w:val="16"/>
              </w:rPr>
              <w:t>Built and reconciled a load-selection model using 18 completed loads and operating records</w:t>
            </w:r>
          </w:p>
        </w:tc>
        <w:tc>
          <w:tcPr>
            <w:tcW w:type="dxa" w:w="5184"/>
            <w:shd w:fill="FFFFFF"/>
            <w:tcMar>
              <w:top w:w="80" w:type="dxa"/>
              <w:start w:w="90" w:type="dxa"/>
              <w:bottom w:w="80" w:type="dxa"/>
              <w:end w:w="90" w:type="dxa"/>
            </w:tcMar>
            <w:vAlign w:val="top"/>
          </w:tcPr>
          <w:p>
            <w:r>
              <w:rPr>
                <w:rFonts w:ascii="Arial" w:hAnsi="Arial"/>
                <w:color w:val="1F1F1F"/>
                <w:sz w:val="16"/>
              </w:rPr>
              <w:t>Built only from illustrative industry data</w:t>
            </w:r>
          </w:p>
        </w:tc>
      </w:tr>
      <w:tr>
        <w:trPr>
          <w:cantSplit/>
        </w:trPr>
        <w:tc>
          <w:tcPr>
            <w:tcW w:type="dxa" w:w="5184"/>
            <w:shd w:fill="F2F2F2"/>
            <w:tcMar>
              <w:top w:w="80" w:type="dxa"/>
              <w:start w:w="90" w:type="dxa"/>
              <w:bottom w:w="80" w:type="dxa"/>
              <w:end w:w="90" w:type="dxa"/>
            </w:tcMar>
            <w:vAlign w:val="top"/>
          </w:tcPr>
          <w:p>
            <w:r>
              <w:rPr>
                <w:rFonts w:ascii="Arial" w:hAnsi="Arial"/>
                <w:color w:val="1F1F1F"/>
                <w:sz w:val="16"/>
              </w:rPr>
              <w:t>Eight decision dimensions and three hard gates</w:t>
            </w:r>
          </w:p>
        </w:tc>
        <w:tc>
          <w:tcPr>
            <w:tcW w:type="dxa" w:w="5184"/>
            <w:shd w:fill="F2F2F2"/>
            <w:tcMar>
              <w:top w:w="80" w:type="dxa"/>
              <w:start w:w="90" w:type="dxa"/>
              <w:bottom w:w="80" w:type="dxa"/>
              <w:end w:w="90" w:type="dxa"/>
            </w:tcMar>
            <w:vAlign w:val="top"/>
          </w:tcPr>
          <w:p>
            <w:r>
              <w:rPr>
                <w:rFonts w:ascii="Arial" w:hAnsi="Arial"/>
                <w:color w:val="1F1F1F"/>
                <w:sz w:val="16"/>
              </w:rPr>
              <w:t>Seven dimensions in the current version</w:t>
            </w:r>
          </w:p>
        </w:tc>
      </w:tr>
      <w:tr>
        <w:trPr>
          <w:cantSplit/>
        </w:trPr>
        <w:tc>
          <w:tcPr>
            <w:tcW w:type="dxa" w:w="5184"/>
            <w:shd w:fill="FFFFFF"/>
            <w:tcMar>
              <w:top w:w="80" w:type="dxa"/>
              <w:start w:w="90" w:type="dxa"/>
              <w:bottom w:w="80" w:type="dxa"/>
              <w:end w:w="90" w:type="dxa"/>
            </w:tcMar>
            <w:vAlign w:val="top"/>
          </w:tcPr>
          <w:p>
            <w:r>
              <w:rPr>
                <w:rFonts w:ascii="Arial" w:hAnsi="Arial"/>
                <w:color w:val="1F1F1F"/>
                <w:sz w:val="16"/>
              </w:rPr>
              <w:t>Actual owner-operator data, not third-party audited</w:t>
            </w:r>
          </w:p>
        </w:tc>
        <w:tc>
          <w:tcPr>
            <w:tcW w:type="dxa" w:w="5184"/>
            <w:shd w:fill="FFFFFF"/>
            <w:tcMar>
              <w:top w:w="80" w:type="dxa"/>
              <w:start w:w="90" w:type="dxa"/>
              <w:bottom w:w="80" w:type="dxa"/>
              <w:end w:w="90" w:type="dxa"/>
            </w:tcMar>
            <w:vAlign w:val="top"/>
          </w:tcPr>
          <w:p>
            <w:r>
              <w:rPr>
                <w:rFonts w:ascii="Arial" w:hAnsi="Arial"/>
                <w:color w:val="1F1F1F"/>
                <w:sz w:val="16"/>
              </w:rPr>
              <w:t>Audited financial model or industry benchmark</w:t>
            </w:r>
          </w:p>
        </w:tc>
      </w:tr>
      <w:tr>
        <w:trPr>
          <w:cantSplit/>
        </w:trPr>
        <w:tc>
          <w:tcPr>
            <w:tcW w:type="dxa" w:w="5184"/>
            <w:shd w:fill="F2F2F2"/>
            <w:tcMar>
              <w:top w:w="80" w:type="dxa"/>
              <w:start w:w="90" w:type="dxa"/>
              <w:bottom w:w="80" w:type="dxa"/>
              <w:end w:w="90" w:type="dxa"/>
            </w:tcMar>
            <w:vAlign w:val="top"/>
          </w:tcPr>
          <w:p>
            <w:r>
              <w:rPr>
                <w:rFonts w:ascii="Arial" w:hAnsi="Arial"/>
                <w:color w:val="1F1F1F"/>
                <w:sz w:val="16"/>
              </w:rPr>
              <w:t>Transparent model that exposed and corrected its own assumptions</w:t>
            </w:r>
          </w:p>
        </w:tc>
        <w:tc>
          <w:tcPr>
            <w:tcW w:type="dxa" w:w="5184"/>
            <w:shd w:fill="F2F2F2"/>
            <w:tcMar>
              <w:top w:w="80" w:type="dxa"/>
              <w:start w:w="90" w:type="dxa"/>
              <w:bottom w:w="80" w:type="dxa"/>
              <w:end w:w="90" w:type="dxa"/>
            </w:tcMar>
            <w:vAlign w:val="top"/>
          </w:tcPr>
          <w:p>
            <w:r>
              <w:rPr>
                <w:rFonts w:ascii="Arial" w:hAnsi="Arial"/>
                <w:color w:val="1F1F1F"/>
                <w:sz w:val="16"/>
              </w:rPr>
              <w:t>Validated predictive model or proven optimization engine</w:t>
            </w:r>
          </w:p>
        </w:tc>
      </w:tr>
      <w:tr>
        <w:trPr>
          <w:cantSplit/>
        </w:trPr>
        <w:tc>
          <w:tcPr>
            <w:tcW w:type="dxa" w:w="5184"/>
            <w:shd w:fill="FFFFFF"/>
            <w:tcMar>
              <w:top w:w="80" w:type="dxa"/>
              <w:start w:w="90" w:type="dxa"/>
              <w:bottom w:w="80" w:type="dxa"/>
              <w:end w:w="90" w:type="dxa"/>
            </w:tcMar>
            <w:vAlign w:val="top"/>
          </w:tcPr>
          <w:p>
            <w:r>
              <w:rPr>
                <w:rFonts w:ascii="Arial" w:hAnsi="Arial"/>
                <w:color w:val="1F1F1F"/>
                <w:sz w:val="16"/>
              </w:rPr>
              <w:t>0.56 correlation for the full score; simpler net-rate metric reached 0.62</w:t>
            </w:r>
          </w:p>
        </w:tc>
        <w:tc>
          <w:tcPr>
            <w:tcW w:type="dxa" w:w="5184"/>
            <w:shd w:fill="FFFFFF"/>
            <w:tcMar>
              <w:top w:w="80" w:type="dxa"/>
              <w:start w:w="90" w:type="dxa"/>
              <w:bottom w:w="80" w:type="dxa"/>
              <w:end w:w="90" w:type="dxa"/>
            </w:tcMar>
            <w:vAlign w:val="top"/>
          </w:tcPr>
          <w:p>
            <w:r>
              <w:rPr>
                <w:rFonts w:ascii="Arial" w:hAnsi="Arial"/>
                <w:color w:val="1F1F1F"/>
                <w:sz w:val="16"/>
              </w:rPr>
              <w:t>Model outperformed simpler metrics</w:t>
            </w:r>
          </w:p>
        </w:tc>
      </w:tr>
      <w:tr>
        <w:trPr>
          <w:cantSplit/>
        </w:trPr>
        <w:tc>
          <w:tcPr>
            <w:tcW w:type="dxa" w:w="5184"/>
            <w:shd w:fill="F2F2F2"/>
            <w:tcMar>
              <w:top w:w="80" w:type="dxa"/>
              <w:start w:w="90" w:type="dxa"/>
              <w:bottom w:w="80" w:type="dxa"/>
              <w:end w:w="90" w:type="dxa"/>
            </w:tcMar>
            <w:vAlign w:val="top"/>
          </w:tcPr>
          <w:p>
            <w:r>
              <w:rPr>
                <w:rFonts w:ascii="Arial" w:hAnsi="Arial"/>
                <w:color w:val="1F1F1F"/>
                <w:sz w:val="16"/>
              </w:rPr>
              <w:t>One trip reconciled directly to a settlement; broader costs derived from settlement history</w:t>
            </w:r>
          </w:p>
        </w:tc>
        <w:tc>
          <w:tcPr>
            <w:tcW w:type="dxa" w:w="5184"/>
            <w:shd w:fill="F2F2F2"/>
            <w:tcMar>
              <w:top w:w="80" w:type="dxa"/>
              <w:start w:w="90" w:type="dxa"/>
              <w:bottom w:w="80" w:type="dxa"/>
              <w:end w:w="90" w:type="dxa"/>
            </w:tcMar>
            <w:vAlign w:val="top"/>
          </w:tcPr>
          <w:p>
            <w:r>
              <w:rPr>
                <w:rFonts w:ascii="Arial" w:hAnsi="Arial"/>
                <w:color w:val="1F1F1F"/>
                <w:sz w:val="16"/>
              </w:rPr>
              <w:t>All 18 trips individually reconciled</w:t>
            </w:r>
          </w:p>
        </w:tc>
      </w:tr>
      <w:tr>
        <w:trPr>
          <w:cantSplit/>
        </w:trPr>
        <w:tc>
          <w:tcPr>
            <w:tcW w:type="dxa" w:w="5184"/>
            <w:shd w:fill="FFFFFF"/>
            <w:tcMar>
              <w:top w:w="80" w:type="dxa"/>
              <w:start w:w="90" w:type="dxa"/>
              <w:bottom w:w="80" w:type="dxa"/>
              <w:end w:w="90" w:type="dxa"/>
            </w:tcMar>
            <w:vAlign w:val="top"/>
          </w:tcPr>
          <w:p>
            <w:r>
              <w:rPr>
                <w:rFonts w:ascii="Arial" w:hAnsi="Arial"/>
                <w:color w:val="1F1F1F"/>
                <w:sz w:val="16"/>
              </w:rPr>
              <w:t>Decision-support and business-analysis portfolio artifact</w:t>
            </w:r>
          </w:p>
        </w:tc>
        <w:tc>
          <w:tcPr>
            <w:tcW w:type="dxa" w:w="5184"/>
            <w:shd w:fill="FFFFFF"/>
            <w:tcMar>
              <w:top w:w="80" w:type="dxa"/>
              <w:start w:w="90" w:type="dxa"/>
              <w:bottom w:w="80" w:type="dxa"/>
              <w:end w:w="90" w:type="dxa"/>
            </w:tcMar>
            <w:vAlign w:val="top"/>
          </w:tcPr>
          <w:p>
            <w:r>
              <w:rPr>
                <w:rFonts w:ascii="Arial" w:hAnsi="Arial"/>
                <w:color w:val="1F1F1F"/>
                <w:sz w:val="16"/>
              </w:rPr>
              <w:t>Production carrier software deployed to other operators</w:t>
            </w:r>
          </w:p>
        </w:tc>
      </w:tr>
    </w:tbl>
    <w:p>
      <w:pPr>
        <w:spacing w:after="0"/>
      </w:pPr>
    </w:p>
    <w:tbl>
      <w:tblPr>
        <w:tblW w:type="auto" w:w="0"/>
        <w:jc w:val="center"/>
        <w:tblLayout w:type="autofit"/>
        <w:tblLook w:firstColumn="1" w:firstRow="1" w:lastColumn="0" w:lastRow="0" w:noHBand="0" w:noVBand="1" w:val="04A0"/>
        <w:tblBorders>
          <w:top w:val="single" w:sz="5" w:space="0" w:color="A8D5BA"/>
          <w:left w:val="single" w:sz="5" w:space="0" w:color="A8D5BA"/>
          <w:bottom w:val="single" w:sz="5" w:space="0" w:color="A8D5BA"/>
          <w:right w:val="single" w:sz="5" w:space="0" w:color="A8D5BA"/>
          <w:insideH w:val="single" w:sz="5" w:space="0" w:color="A8D5BA"/>
          <w:insideV w:val="single" w:sz="5" w:space="0" w:color="A8D5BA"/>
        </w:tblBorders>
      </w:tblPr>
      <w:tblGrid>
        <w:gridCol w:w="10282"/>
      </w:tblGrid>
      <w:tr>
        <w:tc>
          <w:tcPr>
            <w:tcW w:type="dxa" w:w="10282"/>
            <w:shd w:fill="E7F3EC"/>
            <w:tcMar>
              <w:top w:w="110" w:type="dxa"/>
              <w:start w:w="120" w:type="dxa"/>
              <w:bottom w:w="110" w:type="dxa"/>
              <w:end w:w="120" w:type="dxa"/>
            </w:tcMar>
          </w:tcPr>
          <w:p>
            <w:pPr>
              <w:spacing w:after="40"/>
            </w:pPr>
            <w:r>
              <w:rPr>
                <w:rFonts w:ascii="Arial" w:hAnsi="Arial"/>
                <w:b/>
                <w:color w:val="1F6D42"/>
                <w:sz w:val="19"/>
              </w:rPr>
              <w:t xml:space="preserve">Version status: </w:t>
            </w:r>
            <w:r>
              <w:rPr>
                <w:rFonts w:ascii="Arial" w:hAnsi="Arial"/>
                <w:color w:val="1F1F1F"/>
                <w:sz w:val="18"/>
              </w:rPr>
              <w:t>This document and the current public repository describe the same 18-load, eight-dimension version; the older illustrative seven-dimension version is obsolete.</w:t>
            </w:r>
          </w:p>
        </w:tc>
      </w:tr>
    </w:tbl>
    <w:sectPr w:rsidR="00FC693F" w:rsidRPr="0006063C" w:rsidSect="00034616">
      <w:headerReference w:type="default" r:id="rId9"/>
      <w:footerReference w:type="default" r:id="rId10"/>
      <w:pgSz w:w="12240" w:h="15840"/>
      <w:pgMar w:top="893" w:right="979" w:bottom="835" w:left="97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Christopher D. Sheppard  |  </w:t>
    </w:r>
    <w:r>
      <w:rPr>
        <w:rFonts w:ascii="Arial" w:hAnsi="Arial"/>
        <w:color w:val="59595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Freight Load Selection Case Study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rial" w:hAnsi="Arial"/>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i/>
      <w:iCs/>
      <w:color w:val="595959"/>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40"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50" w:line="240"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40" w:lineRule="auto"/>
      <w:contextualSpacing/>
    </w:pPr>
    <w:rPr>
      <w:rFonts w:ascii="Arial" w:hAnsi="Arial"/>
      <w:sz w:val="18"/>
    </w:rPr>
  </w:style>
  <w:style w:type="paragraph" w:styleId="ListNumber2">
    <w:name w:val="List Number 2"/>
    <w:basedOn w:val="Normal"/>
    <w:uiPriority w:val="99"/>
    <w:unhideWhenUsed/>
    <w:rsid w:val="0029639D"/>
    <w:pPr>
      <w:numPr>
        <w:numId w:val="6"/>
      </w:numPr>
      <w:spacing w:after="50" w:line="240" w:lineRule="auto"/>
      <w:contextualSpacing/>
    </w:pPr>
    <w:rPr>
      <w:rFonts w:ascii="Arial" w:hAnsi="Arial"/>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hristopher-sheppard/freight-load-selection-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Load Selection Case Study</dc:title>
  <dc:subject>Public portfolio case study</dc:subject>
  <dc:creator>Christopher D. Sheppard</dc:creator>
  <cp:keywords>public portfolio, case study, Christopher D. Sheppard</cp:keywords>
  <dc:description>Public-safe portfolio case study for Christopher D. Sheppard.</dc:description>
  <cp:lastModifiedBy>Christopher D. Sheppard</cp:lastModifiedBy>
  <cp:revision>1</cp:revision>
  <dcterms:created xsi:type="dcterms:W3CDTF">2026-08-14T06:09:45Z</dcterms:created>
  <dcterms:modified xsi:type="dcterms:W3CDTF">2026-08-14T06:09:45Z</dcterms:modified>
  <cp:category>Portfolio</cp:category>
</cp:coreProperties>
</file>