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Methodische Grundlagen der Werteprofil-Visualisierungen</w:t>
      </w:r>
    </w:p>
    <w:p>
      <w:pPr>
        <w:jc w:val="center"/>
      </w:pPr>
      <w:r>
        <w:rPr>
          <w:color w:val="555555"/>
          <w:sz w:val="22"/>
        </w:rPr>
        <w:t>Schwartz-Radarcharts fuer 14 europaeische Laender – ESS Round 11 (2023)</w:t>
      </w:r>
    </w:p>
    <w:p/>
    <w:p>
      <w:pPr>
        <w:pStyle w:val="Heading1"/>
      </w:pPr>
      <w:r>
        <w:t>1  Theoretischer Hintergrund: Schwartzsche Wertetheorie</w:t>
      </w:r>
    </w:p>
    <w:p>
      <w:pPr>
        <w:spacing w:after="120"/>
      </w:pPr>
      <w:r>
        <w:t>Shalom H. Schwartz entwickelte ab den frühen 1990er-Jahren eine der einflussreichsten Theorien menschlicher Grundwerte. Kern der Theorie ist die Annahme, dass sich menschliche Werte auf zehn motivational distinkte Grundwerte zurückführen lassen: Selbstbestimmung (Self-Direction), Stimulation, Hedonismus, Leistung (Achievement), Macht (Power), Sicherheit (Security), Konformität (Conformity), Tradition, Benevolenz (Benevolence) und Universalismus (Universalism). Diese zehn Werte lassen sich in einem kreisförmigen Motivationskontinuum (Zirkumplexmodell) anordnen: Benachbarte Werte teilen ähnliche Motivationen, gegenüberliegende Werte stehen in inhärenter Spannung zueinander.</w:t>
      </w:r>
    </w:p>
    <w:p>
      <w:pPr>
        <w:spacing w:after="120"/>
      </w:pPr>
      <w:r>
        <w:t>Die zehn Werte werden zu vier übergeordneten Dimensionen zusammengefasst: Offenheit für Wandel (Selbstbestimmung + Stimulation), Selbsttranszendenz (Universalismus + Benevolenz), Bewahrung (Tradition + Konformität + Sicherheit) und Selbsterhöhung (Macht + Leistung + Hedonismus). Diese Struktur wurde in kulturvergleichenden Studien in über 80 Ländern repliziert und gilt als robust gegenüber sprachlichen und kulturellen Unterschieden.</w:t>
      </w:r>
    </w:p>
    <w:p>
      <w:pPr>
        <w:pStyle w:val="Heading1"/>
      </w:pPr>
      <w:r>
        <w:t>2  Datengrundlage: European Social Survey (ESS) und PVQ-21</w:t>
      </w:r>
    </w:p>
    <w:p>
      <w:pPr>
        <w:spacing w:after="120"/>
      </w:pPr>
      <w:r>
        <w:t>Die Datenbasis bildet der European Social Survey (ESS), eine wissenschaftlich koordinierte Mehrlaenderbefragung, die seit 2002 im Zweijahresrhythmus durchgeführt wird. Pro Welle und Land werden rund 1.500 Personen in standardisierten Face-to-Face-Interviews befragt; bis einschließlich Runde 9 wurden kumuliert mehr als 425.000 Interviews realisiert. Die Stichprobenziehung erfolgt nach dem Zufallsprinzip, um repräsentative Querschnitte der jeweiligen Wohnbevölkerung zu gewährleisten.</w:t>
      </w:r>
    </w:p>
    <w:p>
      <w:pPr>
        <w:spacing w:after="120"/>
      </w:pPr>
      <w:r>
        <w:t>Zur Messung der Schwartzschen Grundwerte enthält der ESS-Kernfragebogen seit Runde 1 das Portrait Values Questionnaire-21 (PVQ-21). Im Unterschied zu direkten Selbstbeschreibungen werden beim PVQ kurze Personenporträts präsentiert – beispielsweise: „Es ist ihr wichtig, immer neue Dinge zu erfinden und kreativ zu sein.“ Die Befragten geben an, wie ähnlich ihnen die beschriebene Person ist (Skala 1 = nicht wie ich bis 6 = sehr wie ich). Dieses projektive Verfahren reduziert soziale Erwünschtheit bei der Werteerhebung. Der in dieser Analyse verwendete Datensatz enthält 14 ESS-Indikatoren (ip*_mean), die den zehn Grundwerten zugeordnet werden (Mapping siehe Abschnitt 3).</w:t>
      </w:r>
    </w:p>
    <w:p>
      <w:pPr>
        <w:spacing w:after="120"/>
      </w:pPr>
      <w:r>
        <w:t>Für die vorliegenden Visualisierungen wurden ausschließlich die Daten aus ESS Round 11 (Erhebungsjahr 2023) verwendet. Damit wird auf den aktuellsten Messstand zurückgegriffen und jede Vermischung von Perioden mit unterschiedlichen gesellschaftlichen Kontexten (z. B. Vor- vs. Nachpandemiezeit) vermieden. Die analysierten 14 europäischen Länder sind: Belgien, Schweiz, Deutschland, Spanien, Finnland, Frankreich, Ungarn, Irland, Niederlande, Norwegen, Polen, Portugal, Schweden und Slowenien.</w:t>
      </w:r>
    </w:p>
    <w:p>
      <w:pPr>
        <w:pStyle w:val="Heading1"/>
      </w:pPr>
      <w:r>
        <w:t>3  Operationalisierung: Von PVQ-Items zu Grundwerten</w:t>
      </w:r>
    </w:p>
    <w:p>
      <w:pPr>
        <w:spacing w:after="120"/>
      </w:pPr>
      <w:r>
        <w:t>Die 14 ESS-Items werden gemäß Schwartz’ Originalzuordnung auf die zehn Grundwerte aggregiert:</w:t>
      </w:r>
    </w:p>
    <w:tbl>
      <w:tblPr>
        <w:tblStyle w:val="TableGrid"/>
        <w:tblW w:type="auto" w:w="0"/>
        <w:tblLook w:firstColumn="1" w:firstRow="1" w:lastColumn="0" w:lastRow="0" w:noHBand="0" w:noVBand="1" w:val="04A0"/>
      </w:tblPr>
      <w:tblGrid>
        <w:gridCol w:w="2837"/>
        <w:gridCol w:w="2837"/>
        <w:gridCol w:w="2837"/>
      </w:tblGrid>
      <w:tr>
        <w:tc>
          <w:tcPr>
            <w:tcW w:type="dxa" w:w="2837"/>
          </w:tcPr>
          <w:p>
            <w:r>
              <w:t>Grundwert (DE)</w:t>
            </w:r>
          </w:p>
        </w:tc>
        <w:tc>
          <w:tcPr>
            <w:tcW w:type="dxa" w:w="2837"/>
          </w:tcPr>
          <w:p>
            <w:r>
              <w:t>Kürzel</w:t>
            </w:r>
          </w:p>
        </w:tc>
        <w:tc>
          <w:tcPr>
            <w:tcW w:type="dxa" w:w="2837"/>
          </w:tcPr>
          <w:p>
            <w:r>
              <w:t>ESS-Items (ip*_mean)</w:t>
            </w:r>
          </w:p>
        </w:tc>
      </w:tr>
      <w:tr>
        <w:tc>
          <w:tcPr>
            <w:tcW w:type="dxa" w:w="2837"/>
          </w:tcPr>
          <w:p>
            <w:r>
              <w:t>Selbstbestimmung</w:t>
            </w:r>
          </w:p>
        </w:tc>
        <w:tc>
          <w:tcPr>
            <w:tcW w:type="dxa" w:w="2837"/>
          </w:tcPr>
          <w:p>
            <w:r>
              <w:t>SD</w:t>
            </w:r>
          </w:p>
        </w:tc>
        <w:tc>
          <w:tcPr>
            <w:tcW w:type="dxa" w:w="2837"/>
          </w:tcPr>
          <w:p>
            <w:r>
              <w:t>ipcrtiv_mean</w:t>
            </w:r>
          </w:p>
        </w:tc>
      </w:tr>
      <w:tr>
        <w:tc>
          <w:tcPr>
            <w:tcW w:type="dxa" w:w="2837"/>
          </w:tcPr>
          <w:p>
            <w:r>
              <w:t>Stimulation</w:t>
            </w:r>
          </w:p>
        </w:tc>
        <w:tc>
          <w:tcPr>
            <w:tcW w:type="dxa" w:w="2837"/>
          </w:tcPr>
          <w:p>
            <w:r>
              <w:t>ST</w:t>
            </w:r>
          </w:p>
        </w:tc>
        <w:tc>
          <w:tcPr>
            <w:tcW w:type="dxa" w:w="2837"/>
          </w:tcPr>
          <w:p>
            <w:r>
              <w:t>ipadvnt_mean</w:t>
            </w:r>
          </w:p>
        </w:tc>
      </w:tr>
      <w:tr>
        <w:tc>
          <w:tcPr>
            <w:tcW w:type="dxa" w:w="2837"/>
          </w:tcPr>
          <w:p>
            <w:r>
              <w:t>Hedonismus</w:t>
            </w:r>
          </w:p>
        </w:tc>
        <w:tc>
          <w:tcPr>
            <w:tcW w:type="dxa" w:w="2837"/>
          </w:tcPr>
          <w:p>
            <w:r>
              <w:t>HE</w:t>
            </w:r>
          </w:p>
        </w:tc>
        <w:tc>
          <w:tcPr>
            <w:tcW w:type="dxa" w:w="2837"/>
          </w:tcPr>
          <w:p>
            <w:r>
              <w:t>ipgdtim_mean</w:t>
            </w:r>
          </w:p>
        </w:tc>
      </w:tr>
      <w:tr>
        <w:tc>
          <w:tcPr>
            <w:tcW w:type="dxa" w:w="2837"/>
          </w:tcPr>
          <w:p>
            <w:r>
              <w:t>Leistung</w:t>
            </w:r>
          </w:p>
        </w:tc>
        <w:tc>
          <w:tcPr>
            <w:tcW w:type="dxa" w:w="2837"/>
          </w:tcPr>
          <w:p>
            <w:r>
              <w:t>AC</w:t>
            </w:r>
          </w:p>
        </w:tc>
        <w:tc>
          <w:tcPr>
            <w:tcW w:type="dxa" w:w="2837"/>
          </w:tcPr>
          <w:p>
            <w:r>
              <w:t>ipsuces_mean</w:t>
            </w:r>
          </w:p>
        </w:tc>
      </w:tr>
      <w:tr>
        <w:tc>
          <w:tcPr>
            <w:tcW w:type="dxa" w:w="2837"/>
          </w:tcPr>
          <w:p>
            <w:r>
              <w:t>Macht</w:t>
            </w:r>
          </w:p>
        </w:tc>
        <w:tc>
          <w:tcPr>
            <w:tcW w:type="dxa" w:w="2837"/>
          </w:tcPr>
          <w:p>
            <w:r>
              <w:t>PO</w:t>
            </w:r>
          </w:p>
        </w:tc>
        <w:tc>
          <w:tcPr>
            <w:tcW w:type="dxa" w:w="2837"/>
          </w:tcPr>
          <w:p>
            <w:r>
              <w:t>ipshabt_mean</w:t>
            </w:r>
          </w:p>
        </w:tc>
      </w:tr>
      <w:tr>
        <w:tc>
          <w:tcPr>
            <w:tcW w:type="dxa" w:w="2837"/>
          </w:tcPr>
          <w:p>
            <w:r>
              <w:t>Sicherheit</w:t>
            </w:r>
          </w:p>
        </w:tc>
        <w:tc>
          <w:tcPr>
            <w:tcW w:type="dxa" w:w="2837"/>
          </w:tcPr>
          <w:p>
            <w:r>
              <w:t>SE</w:t>
            </w:r>
          </w:p>
        </w:tc>
        <w:tc>
          <w:tcPr>
            <w:tcW w:type="dxa" w:w="2837"/>
          </w:tcPr>
          <w:p>
            <w:r>
              <w:t>ipstrgv_mean</w:t>
            </w:r>
          </w:p>
        </w:tc>
      </w:tr>
      <w:tr>
        <w:tc>
          <w:tcPr>
            <w:tcW w:type="dxa" w:w="2837"/>
          </w:tcPr>
          <w:p>
            <w:r>
              <w:t>Konformität</w:t>
            </w:r>
          </w:p>
        </w:tc>
        <w:tc>
          <w:tcPr>
            <w:tcW w:type="dxa" w:w="2837"/>
          </w:tcPr>
          <w:p>
            <w:r>
              <w:t>CO</w:t>
            </w:r>
          </w:p>
        </w:tc>
        <w:tc>
          <w:tcPr>
            <w:tcW w:type="dxa" w:w="2837"/>
          </w:tcPr>
          <w:p>
            <w:r>
              <w:t>Ø(ipbhprp_mean, ipfrule_mean, ipmodst_mean)</w:t>
            </w:r>
          </w:p>
        </w:tc>
      </w:tr>
      <w:tr>
        <w:tc>
          <w:tcPr>
            <w:tcW w:type="dxa" w:w="2837"/>
          </w:tcPr>
          <w:p>
            <w:r>
              <w:t>Tradition</w:t>
            </w:r>
          </w:p>
        </w:tc>
        <w:tc>
          <w:tcPr>
            <w:tcW w:type="dxa" w:w="2837"/>
          </w:tcPr>
          <w:p>
            <w:r>
              <w:t>TR</w:t>
            </w:r>
          </w:p>
        </w:tc>
        <w:tc>
          <w:tcPr>
            <w:tcW w:type="dxa" w:w="2837"/>
          </w:tcPr>
          <w:p>
            <w:r>
              <w:t>iprspot_mean</w:t>
            </w:r>
          </w:p>
        </w:tc>
      </w:tr>
      <w:tr>
        <w:tc>
          <w:tcPr>
            <w:tcW w:type="dxa" w:w="2837"/>
          </w:tcPr>
          <w:p>
            <w:r>
              <w:t>Benevolenz</w:t>
            </w:r>
          </w:p>
        </w:tc>
        <w:tc>
          <w:tcPr>
            <w:tcW w:type="dxa" w:w="2837"/>
          </w:tcPr>
          <w:p>
            <w:r>
              <w:t>BE</w:t>
            </w:r>
          </w:p>
        </w:tc>
        <w:tc>
          <w:tcPr>
            <w:tcW w:type="dxa" w:w="2837"/>
          </w:tcPr>
          <w:p>
            <w:r>
              <w:t>Ø(iphlppl_mean, iplylfr_mean)</w:t>
            </w:r>
          </w:p>
        </w:tc>
      </w:tr>
      <w:tr>
        <w:tc>
          <w:tcPr>
            <w:tcW w:type="dxa" w:w="2837"/>
          </w:tcPr>
          <w:p>
            <w:r>
              <w:t>Universalismus</w:t>
            </w:r>
          </w:p>
        </w:tc>
        <w:tc>
          <w:tcPr>
            <w:tcW w:type="dxa" w:w="2837"/>
          </w:tcPr>
          <w:p>
            <w:r>
              <w:t>UN</w:t>
            </w:r>
          </w:p>
        </w:tc>
        <w:tc>
          <w:tcPr>
            <w:tcW w:type="dxa" w:w="2837"/>
          </w:tcPr>
          <w:p>
            <w:r>
              <w:t>Ø(ipeqopt_mean, ipudrst_mean)</w:t>
            </w:r>
          </w:p>
        </w:tc>
      </w:tr>
    </w:tbl>
    <w:p/>
    <w:p>
      <w:pPr>
        <w:spacing w:after="120"/>
      </w:pPr>
      <w:r>
        <w:t>Werte mit mehreren Items (Konformität, Benevolenz, Universalismus) werden durch arithmetisches Mittel über die zugehörigen Items aggregiert. Da der Datensatz bereits auf Länderebene aggregierte Mittelwerte (ip*_mean) enthält, entsprechen diese dem arithmetischen Mittel der Einzelantworten aller Befragten des jeweiligen Landes.</w:t>
      </w:r>
    </w:p>
    <w:p>
      <w:pPr>
        <w:pStyle w:val="Heading1"/>
      </w:pPr>
      <w:r>
        <w:t>4  Δ-Scores: Relative Werteprioritaeten statt Absolutwerte</w:t>
      </w:r>
    </w:p>
    <w:p>
      <w:pPr>
        <w:spacing w:after="120"/>
      </w:pPr>
      <w:r>
        <w:t>Rohe PVQ-Mittelwerte auf der 1–6-Skala sind für Ländervergleiche nur bedingt geeignet, weil sie durch Antworttendenzen (Acquiescence Bias) verzerrt werden: Befragte aus bestimmten Kulturen neigen dazu, systematisch höhere oder niedrigere Werte zu vergeben, unabhängig von ihren tatsächlichen Wertepräferenzen. Um diesen Effekt zu neutralisieren, empfiehlt Schwartz (1992) die Zentrierung der Rohwerte am Ländermittel aller zehn Grundwerte:</w:t>
      </w:r>
    </w:p>
    <w:p>
      <w:pPr>
        <w:spacing w:before="80" w:after="160"/>
        <w:ind w:left="864"/>
      </w:pPr>
      <w:r>
        <w:rPr>
          <w:rFonts w:ascii="Courier New" w:hAnsi="Courier New"/>
          <w:b/>
          <w:sz w:val="20"/>
        </w:rPr>
        <w:t>Δ(Wert_i)  =  Rohwert(Wert_i) − Ø(alle 10 Grundwerte)</w:t>
      </w:r>
    </w:p>
    <w:p>
      <w:pPr>
        <w:spacing w:after="120"/>
      </w:pPr>
      <w:r>
        <w:t>Der resultierende Δ-Score gibt an, um wie viel ein Grundwert über (+) oder unter (−) dem Länderdurchschnitt aller zehn Werte liegt. In den Radarcharts markiert der Mittelring (Δ = 0) den Länderdurchschnitt; Flächen jenseits des Rings kennzeichnen überdurchschnittlich wichtige, Flächen innerhalb des Rings unterdurchschnittlich wichtige Werte. Die Achsen sind auf −1,0 bis +1,0 skaliert. Diese Darstellung macht unmittelbar sichtbar, welche Werte ein Land relativ zu seinem eigenen Profil betont oder vernachlässigt – und erlaubt damit sinnvolle Vergleiche zwischen Ländern mit unterschiedlichen Antwortniveaus.</w:t>
      </w:r>
    </w:p>
    <w:p>
      <w:pPr>
        <w:pStyle w:val="Heading1"/>
      </w:pPr>
      <w:r>
        <w:t>5  Aufbau der Radarcharts</w:t>
      </w:r>
    </w:p>
    <w:p>
      <w:pPr>
        <w:spacing w:after="120"/>
      </w:pPr>
      <w:r>
        <w:t>Jeder Radarchart zeigt die Δ-Scores der zehn Grundwerte als gefülltes Spinnendiagramm. Die zehn Achsen sind im Uhrzeigersinn von oben angeordnet, entsprechend der theoretischen Reihenfolge im Schwartzschen Zirkumplexmodell: Selbstbestimmung → Universalismus → Benevolenz → Tradition → Konformität → Sicherheit → Macht → Leistung → Hedonismus → Stimulation. Benachbarte Achsen gehören zu motivational ähnlichen Werten; die Farbbögen am äußeren Rand markieren die vier übergeordneten Dimensionen. Die Landesflagge ist als semitransparentes Bild im Innenbereich des Charts sichtbar. Alle Charts basieren auf ESS Round 11 (2023).</w:t>
      </w:r>
    </w:p>
    <w:p>
      <w:pPr>
        <w:pStyle w:val="Heading1"/>
      </w:pPr>
      <w:r>
        <w:t>6  Einschränkungen und kritische Würdigung</w:t>
      </w:r>
    </w:p>
    <w:p>
      <w:pPr>
        <w:spacing w:after="120"/>
      </w:pPr>
      <w:r>
        <w:t>Die hier gewählte Methode der Aggregation auf Länderebene – d. h. die Berechnung eines einzigen Werteprofils pro Land – bietet Übersichtlichkeit und erlaubt schnelle internationale Vergleiche. Sie ist jedoch mit einer grundlegenden Einschränkung verbunden, die für eine wissenschaftlich korrekte Interpretation unbedingt im Blick behalten werden sollte:</w:t>
      </w:r>
    </w:p>
    <w:p>
      <w:pPr>
        <w:spacing w:after="120"/>
      </w:pPr>
      <w:r>
        <w:t>Jede Gesellschaft ist heterogen. Hinter dem Ländermittelwert verbergen sich erhebliche Unterschiede zwischen Bevölkerungsgruppen nach Alter, Bildung, politischer Orientierung, Region oder sozioökonomischem Status. Diese intranationale Varianz wird durch ein einzelnes Werteprofil vollständig unsichtbar gemacht. Gollan und Witte (2014) sowie nachfolgende Studien (u. a. Boehnke et al., 2020, Frontiers in Psychology) kritisieren diesen Averaging-Ansatz grundlegend: Die Mittelung über individuelle Profile kann die theoretisch postulierte Zirkumplexstruktur verzerren oder artifiziell erzeugen. Der distributionale Ansatz – die Analyse der Häufigkeitsverteilung individueller Werteprofile statt ihrer Mittelwerte – wird als validere Alternative empfohlen, um die tatsächliche Wertevielfalt innerhalb einer Gesellschaft abzubilden.</w:t>
      </w:r>
    </w:p>
    <w:p>
      <w:pPr>
        <w:spacing w:after="120"/>
      </w:pPr>
      <w:r>
        <w:t>Die Radarcharts sind daher als komprimierte Orientierungshilfe zu verstehen – sie zeigen die zentrale Tendenz, nicht die Bandbreite gesellschaftlicher Wertvorstellungen. Aussagen wie „In Deutschland ist Sicherheit wichtiger als Stimulation“ beschreiben statistische Ländermittelwerte, nicht die Überzeugungen jeder einzelnen Person. Für tiefer gehende Analysen – etwa zu Werteunterschieden zwischen politischen Lagern, Generationen oder Regionen – wären disaggregierte Auswertungen auf Individualdatenbasis erforderlich.</w:t>
      </w:r>
    </w:p>
    <w:p>
      <w:pPr>
        <w:spacing w:after="120"/>
      </w:pPr>
      <w:r>
        <w:t>Darüber hinaus bildet ESS Round 11 (2023) einen einzelnen Messzeitpunkt ab. Werte sind zwar grundsätzlich stabil, können jedoch auf außergewöhnliche gesellschaftliche Ereignisse reagieren. Studien zur COVID-19-Pandemie deuten etwa darauf hin, dass Sicherheitswerte vorübergehend an Bedeutung gewannen. Der Zeitpunkt der Messung (2023) liegt in einem post-pandemischen Kontext, was bei der Interpretation berücksichtigt werden sollte.</w:t>
      </w:r>
    </w:p>
    <w:p>
      <w:pPr>
        <w:pStyle w:val="Heading1"/>
      </w:pPr>
      <w:r>
        <w:t>7  Quellenangaben</w:t>
      </w:r>
    </w:p>
    <w:p>
      <w:pPr>
        <w:pStyle w:val="ListBullet"/>
        <w:spacing w:after="60"/>
      </w:pPr>
      <w:r>
        <w:rPr>
          <w:sz w:val="18"/>
        </w:rPr>
        <w:t>Schwartz, S. H. (1992). Universals in the content and structure of values: Theoretical advances and empirical tests in 20 countries. Advances in Experimental Social Psychology, 25, 1–65.</w:t>
      </w:r>
    </w:p>
    <w:p>
      <w:pPr>
        <w:pStyle w:val="ListBullet"/>
        <w:spacing w:after="60"/>
      </w:pPr>
      <w:r>
        <w:rPr>
          <w:sz w:val="18"/>
        </w:rPr>
        <w:t>Schwartz, S. H. (2006). A Theory of Cultural Value Orientations: Explication and Applications. Comparative Sociology, 5(2–3), 137–182.</w:t>
      </w:r>
    </w:p>
    <w:p>
      <w:pPr>
        <w:pStyle w:val="ListBullet"/>
        <w:spacing w:after="60"/>
      </w:pPr>
      <w:r>
        <w:rPr>
          <w:sz w:val="18"/>
        </w:rPr>
        <w:t>Gollan, T., &amp; Witte, E. H. (2014). More meaning in fewer dimensions? Evaluating the two-dimensional model of Schwartz’ basic values in different cultural contexts. Journal of Cross-Cultural Psychology, 45(7), 1161–1178.</w:t>
      </w:r>
    </w:p>
    <w:p>
      <w:pPr>
        <w:pStyle w:val="ListBullet"/>
        <w:spacing w:after="60"/>
      </w:pPr>
      <w:r>
        <w:rPr>
          <w:sz w:val="18"/>
        </w:rPr>
        <w:t>Boehnke, K., Schlösser, T., Fuss, D., &amp; MacPherson, M. J. (2020). Value Change in Europe? A Closer Look at the Distributional Approach in Cross-Cultural Value Research. Frontiers in Psychology, 11, 557517. https://doi.org/10.3389/fpsyg.2020.557517</w:t>
      </w:r>
    </w:p>
    <w:p>
      <w:pPr>
        <w:pStyle w:val="ListBullet"/>
        <w:spacing w:after="60"/>
      </w:pPr>
      <w:r>
        <w:rPr>
          <w:sz w:val="18"/>
        </w:rPr>
        <w:t>European Social Survey (ESS) (2023). ESS Round 11 – Data file edition 2.0. NSD – Norwegian Agency for Shared Services in Education and Research, Norway. https://doi.org/10.21338/ess11e02_0</w:t>
      </w:r>
    </w:p>
    <w:p>
      <w:pPr>
        <w:pStyle w:val="ListBullet"/>
        <w:spacing w:after="60"/>
      </w:pPr>
      <w:r>
        <w:rPr>
          <w:sz w:val="18"/>
        </w:rPr>
        <w:t>Davidov, E., Schmidt, P., &amp; Billiet, J. (Hrsg.) (2011). Cross-Cultural Analysis: Methods and Applications. Routledge.</w:t>
      </w:r>
    </w:p>
    <w:sectPr w:rsidR="00FC693F" w:rsidRPr="0006063C" w:rsidSect="00034616">
      <w:pgSz w:w="11909" w:h="16834"/>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