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Interface Control Document (ICD)</w:t>
        <w:br/>
        <w:t>PowerPoint Object Extraction Utility</w:t>
      </w:r>
    </w:p>
    <w:p>
      <w:pPr>
        <w:jc w:val="center"/>
      </w:pPr>
      <w:r>
        <w:rPr>
          <w:sz w:val="22"/>
        </w:rPr>
        <w:t>Version 0.5</w:t>
        <w:br/>
        <w:t>Modular Baseline Interfaces with Control-Logic Verification Coverage</w:t>
        <w:br/>
        <w:t>Document Status: Draft baseline for implementation and review</w:t>
      </w:r>
    </w:p>
    <w:p/>
    <w:p>
      <w:pPr>
        <w:pStyle w:val="Heading1"/>
      </w:pPr>
      <w:r>
        <w:t>1. Purpose and Scope</w:t>
      </w:r>
    </w:p>
    <w:p>
      <w:r>
        <w:t>This ICD defines the external command interface, input file interface, output CSV interfaces, internal module boundaries, test harness interfaces, error interface, and versioning rules for the PowerPoint Object Extraction Utility. Baseline v0.5 preserves the object CSV contract, adds relationship output as an independent interface, and documents the test harness interface used to grade extractor behavior against manually authored expected results.</w:t>
      </w:r>
    </w:p>
    <w:p>
      <w:pPr>
        <w:pStyle w:val="Heading1"/>
      </w:pPr>
      <w:r>
        <w:t>2. External Command Interface</w:t>
      </w:r>
    </w:p>
    <w:p>
      <w:r>
        <w:t>End users run main.py from the command line. The command writes both output CSV files needed for downstream ingestion. Figure 2-1 shows the external context.</w:t>
      </w:r>
    </w:p>
    <w:p>
      <w:r>
        <w:t>python src/main.py &lt;pptx_file&gt; &lt;output_dir&gt;</w:t>
      </w:r>
    </w:p>
    <w:p>
      <w:pPr>
        <w:jc w:val="center"/>
      </w:pPr>
      <w:r>
        <w:drawing>
          <wp:inline xmlns:a="http://schemas.openxmlformats.org/drawingml/2006/main" xmlns:pic="http://schemas.openxmlformats.org/drawingml/2006/picture">
            <wp:extent cx="6035040" cy="3583305"/>
            <wp:docPr id="1" name="Picture 1"/>
            <wp:cNvGraphicFramePr>
              <a:graphicFrameLocks noChangeAspect="1"/>
            </wp:cNvGraphicFramePr>
            <a:graphic>
              <a:graphicData uri="http://schemas.openxmlformats.org/drawingml/2006/picture">
                <pic:pic>
                  <pic:nvPicPr>
                    <pic:cNvPr id="0" name="fig_icd_2_1_external.png"/>
                    <pic:cNvPicPr/>
                  </pic:nvPicPr>
                  <pic:blipFill>
                    <a:blip r:embed="rId9"/>
                    <a:stretch>
                      <a:fillRect/>
                    </a:stretch>
                  </pic:blipFill>
                  <pic:spPr>
                    <a:xfrm>
                      <a:off x="0" y="0"/>
                      <a:ext cx="6035040" cy="3583305"/>
                    </a:xfrm>
                    <a:prstGeom prst="rect"/>
                  </pic:spPr>
                </pic:pic>
              </a:graphicData>
            </a:graphic>
          </wp:inline>
        </w:drawing>
      </w:r>
    </w:p>
    <w:p>
      <w:pPr>
        <w:pStyle w:val="Caption"/>
        <w:jc w:val="center"/>
      </w:pPr>
      <w:r>
        <w:t>Figure 2-1. External Interface Context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Argument</w:t>
            </w:r>
          </w:p>
        </w:tc>
        <w:tc>
          <w:tcPr>
            <w:tcW w:type="dxa" w:w="2520"/>
            <w:vAlign w:val="top"/>
            <w:shd w:fill="D9EAF7"/>
          </w:tcPr>
          <w:p>
            <w:r/>
            <w:r>
              <w:rPr>
                <w:b/>
                <w:sz w:val="18"/>
              </w:rPr>
              <w:t>Type</w:t>
            </w:r>
          </w:p>
        </w:tc>
        <w:tc>
          <w:tcPr>
            <w:tcW w:type="dxa" w:w="2520"/>
            <w:vAlign w:val="top"/>
            <w:shd w:fill="D9EAF7"/>
          </w:tcPr>
          <w:p>
            <w:r/>
            <w:r>
              <w:rPr>
                <w:b/>
                <w:sz w:val="18"/>
              </w:rPr>
              <w:t>Required</w:t>
            </w:r>
          </w:p>
        </w:tc>
        <w:tc>
          <w:tcPr>
            <w:tcW w:type="dxa" w:w="2520"/>
            <w:vAlign w:val="top"/>
            <w:shd w:fill="D9EAF7"/>
          </w:tcPr>
          <w:p>
            <w:r/>
            <w:r>
              <w:rPr>
                <w:b/>
                <w:sz w:val="18"/>
              </w:rPr>
              <w:t>Description</w:t>
            </w:r>
          </w:p>
        </w:tc>
      </w:tr>
      <w:tr>
        <w:tc>
          <w:tcPr>
            <w:tcW w:type="dxa" w:w="2520"/>
            <w:vAlign w:val="top"/>
          </w:tcPr>
          <w:p>
            <w:r/>
            <w:r>
              <w:rPr>
                <w:b w:val="0"/>
                <w:sz w:val="18"/>
              </w:rPr>
              <w:t>pptx_file</w:t>
            </w:r>
          </w:p>
        </w:tc>
        <w:tc>
          <w:tcPr>
            <w:tcW w:type="dxa" w:w="2520"/>
            <w:vAlign w:val="top"/>
          </w:tcPr>
          <w:p>
            <w:r/>
            <w:r>
              <w:rPr>
                <w:b w:val="0"/>
                <w:sz w:val="18"/>
              </w:rPr>
              <w:t>Path</w:t>
            </w:r>
          </w:p>
        </w:tc>
        <w:tc>
          <w:tcPr>
            <w:tcW w:type="dxa" w:w="2520"/>
            <w:vAlign w:val="top"/>
          </w:tcPr>
          <w:p>
            <w:r/>
            <w:r>
              <w:rPr>
                <w:b w:val="0"/>
                <w:sz w:val="18"/>
              </w:rPr>
              <w:t>Yes</w:t>
            </w:r>
          </w:p>
        </w:tc>
        <w:tc>
          <w:tcPr>
            <w:tcW w:type="dxa" w:w="2520"/>
            <w:vAlign w:val="top"/>
          </w:tcPr>
          <w:p>
            <w:r/>
            <w:r>
              <w:rPr>
                <w:b w:val="0"/>
                <w:sz w:val="18"/>
              </w:rPr>
              <w:t>Path to the input Microsoft PowerPoint .pptx file.</w:t>
            </w:r>
          </w:p>
        </w:tc>
      </w:tr>
      <w:tr>
        <w:tc>
          <w:tcPr>
            <w:tcW w:type="dxa" w:w="2520"/>
            <w:vAlign w:val="top"/>
          </w:tcPr>
          <w:p>
            <w:r/>
            <w:r>
              <w:rPr>
                <w:b w:val="0"/>
                <w:sz w:val="18"/>
              </w:rPr>
              <w:t>output_dir</w:t>
            </w:r>
          </w:p>
        </w:tc>
        <w:tc>
          <w:tcPr>
            <w:tcW w:type="dxa" w:w="2520"/>
            <w:vAlign w:val="top"/>
          </w:tcPr>
          <w:p>
            <w:r/>
            <w:r>
              <w:rPr>
                <w:b w:val="0"/>
                <w:sz w:val="18"/>
              </w:rPr>
              <w:t>Path</w:t>
            </w:r>
          </w:p>
        </w:tc>
        <w:tc>
          <w:tcPr>
            <w:tcW w:type="dxa" w:w="2520"/>
            <w:vAlign w:val="top"/>
          </w:tcPr>
          <w:p>
            <w:r/>
            <w:r>
              <w:rPr>
                <w:b w:val="0"/>
                <w:sz w:val="18"/>
              </w:rPr>
              <w:t>Yes</w:t>
            </w:r>
          </w:p>
        </w:tc>
        <w:tc>
          <w:tcPr>
            <w:tcW w:type="dxa" w:w="2520"/>
            <w:vAlign w:val="top"/>
          </w:tcPr>
          <w:p>
            <w:r/>
            <w:r>
              <w:rPr>
                <w:b w:val="0"/>
                <w:sz w:val="18"/>
              </w:rPr>
              <w:t>Directory where objects.csv and relationships.csv should be written.</w:t>
            </w:r>
          </w:p>
        </w:tc>
      </w:tr>
    </w:tbl>
    <w:p/>
    <w:p>
      <w:pPr>
        <w:pStyle w:val="Heading1"/>
      </w:pPr>
      <w:r>
        <w:t>3. Input File Interface</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Interface Item</w:t>
            </w:r>
          </w:p>
        </w:tc>
        <w:tc>
          <w:tcPr>
            <w:tcW w:type="dxa" w:w="5040"/>
            <w:vAlign w:val="top"/>
            <w:shd w:fill="D9EAF7"/>
          </w:tcPr>
          <w:p>
            <w:r/>
            <w:r>
              <w:rPr>
                <w:b/>
                <w:sz w:val="18"/>
              </w:rPr>
              <w:t>Contract</w:t>
            </w:r>
          </w:p>
        </w:tc>
      </w:tr>
      <w:tr>
        <w:tc>
          <w:tcPr>
            <w:tcW w:type="dxa" w:w="5040"/>
            <w:vAlign w:val="top"/>
          </w:tcPr>
          <w:p>
            <w:r/>
            <w:r>
              <w:rPr>
                <w:b w:val="0"/>
                <w:sz w:val="18"/>
              </w:rPr>
              <w:t>Supported file extension</w:t>
            </w:r>
          </w:p>
        </w:tc>
        <w:tc>
          <w:tcPr>
            <w:tcW w:type="dxa" w:w="5040"/>
            <w:vAlign w:val="top"/>
          </w:tcPr>
          <w:p>
            <w:r/>
            <w:r>
              <w:rPr>
                <w:b w:val="0"/>
                <w:sz w:val="18"/>
              </w:rPr>
              <w:t>.pptx</w:t>
            </w:r>
          </w:p>
        </w:tc>
      </w:tr>
      <w:tr>
        <w:tc>
          <w:tcPr>
            <w:tcW w:type="dxa" w:w="5040"/>
            <w:vAlign w:val="top"/>
          </w:tcPr>
          <w:p>
            <w:r/>
            <w:r>
              <w:rPr>
                <w:b w:val="0"/>
                <w:sz w:val="18"/>
              </w:rPr>
              <w:t>Unsupported file extension</w:t>
            </w:r>
          </w:p>
        </w:tc>
        <w:tc>
          <w:tcPr>
            <w:tcW w:type="dxa" w:w="5040"/>
            <w:vAlign w:val="top"/>
          </w:tcPr>
          <w:p>
            <w:r/>
            <w:r>
              <w:rPr>
                <w:b w:val="0"/>
                <w:sz w:val="18"/>
              </w:rPr>
              <w:t>.ppt legacy binary files are not supported.</w:t>
            </w:r>
          </w:p>
        </w:tc>
      </w:tr>
      <w:tr>
        <w:tc>
          <w:tcPr>
            <w:tcW w:type="dxa" w:w="5040"/>
            <w:vAlign w:val="top"/>
          </w:tcPr>
          <w:p>
            <w:r/>
            <w:r>
              <w:rPr>
                <w:b w:val="0"/>
                <w:sz w:val="18"/>
              </w:rPr>
              <w:t>Password protection</w:t>
            </w:r>
          </w:p>
        </w:tc>
        <w:tc>
          <w:tcPr>
            <w:tcW w:type="dxa" w:w="5040"/>
            <w:vAlign w:val="top"/>
          </w:tcPr>
          <w:p>
            <w:r/>
            <w:r>
              <w:rPr>
                <w:b w:val="0"/>
                <w:sz w:val="18"/>
              </w:rPr>
              <w:t>Password-protected files are not supported.</w:t>
            </w:r>
          </w:p>
        </w:tc>
      </w:tr>
      <w:tr>
        <w:tc>
          <w:tcPr>
            <w:tcW w:type="dxa" w:w="5040"/>
            <w:vAlign w:val="top"/>
          </w:tcPr>
          <w:p>
            <w:r/>
            <w:r>
              <w:rPr>
                <w:b w:val="0"/>
                <w:sz w:val="18"/>
              </w:rPr>
              <w:t>Flattened image diagrams</w:t>
            </w:r>
          </w:p>
        </w:tc>
        <w:tc>
          <w:tcPr>
            <w:tcW w:type="dxa" w:w="5040"/>
            <w:vAlign w:val="top"/>
          </w:tcPr>
          <w:p>
            <w:r/>
            <w:r>
              <w:rPr>
                <w:b w:val="0"/>
                <w:sz w:val="18"/>
              </w:rPr>
              <w:t>The image object is listed, but image contents are not interpreted.</w:t>
            </w:r>
          </w:p>
        </w:tc>
      </w:tr>
      <w:tr>
        <w:tc>
          <w:tcPr>
            <w:tcW w:type="dxa" w:w="5040"/>
            <w:vAlign w:val="top"/>
          </w:tcPr>
          <w:p>
            <w:r/>
            <w:r>
              <w:rPr>
                <w:b w:val="0"/>
                <w:sz w:val="18"/>
              </w:rPr>
              <w:t>Slide ordering</w:t>
            </w:r>
          </w:p>
        </w:tc>
        <w:tc>
          <w:tcPr>
            <w:tcW w:type="dxa" w:w="5040"/>
            <w:vAlign w:val="top"/>
          </w:tcPr>
          <w:p>
            <w:r/>
            <w:r>
              <w:rPr>
                <w:b w:val="0"/>
                <w:sz w:val="18"/>
              </w:rPr>
              <w:t>Slides are processed in presentation order using one-based slide numbers.</w:t>
            </w:r>
          </w:p>
        </w:tc>
      </w:tr>
      <w:tr>
        <w:tc>
          <w:tcPr>
            <w:tcW w:type="dxa" w:w="5040"/>
            <w:vAlign w:val="top"/>
          </w:tcPr>
          <w:p>
            <w:r/>
            <w:r>
              <w:rPr>
                <w:b w:val="0"/>
                <w:sz w:val="18"/>
              </w:rPr>
              <w:t>Native objects</w:t>
            </w:r>
          </w:p>
        </w:tc>
        <w:tc>
          <w:tcPr>
            <w:tcW w:type="dxa" w:w="5040"/>
            <w:vAlign w:val="top"/>
          </w:tcPr>
          <w:p>
            <w:r/>
            <w:r>
              <w:rPr>
                <w:b w:val="0"/>
                <w:sz w:val="18"/>
              </w:rPr>
              <w:t>Text boxes, AutoShapes, placeholders, pictures, graphic frames, tables, charts, lines, connectors, and grouped shapes may be enumerated if exposed through python-pptx.</w:t>
            </w:r>
          </w:p>
        </w:tc>
      </w:tr>
    </w:tbl>
    <w:p/>
    <w:p>
      <w:pPr>
        <w:pStyle w:val="Heading1"/>
      </w:pPr>
      <w:r>
        <w:t>4. Output File Interfaces</w:t>
      </w:r>
    </w:p>
    <w:p>
      <w:r>
        <w:t>The runtime output contract consists of objects.csv and relationships.csv. Figure 4-1 shows the two additive CSV interfaces and the compatibility rule.</w:t>
      </w:r>
    </w:p>
    <w:p>
      <w:pPr>
        <w:jc w:val="center"/>
      </w:pPr>
      <w:r>
        <w:drawing>
          <wp:inline xmlns:a="http://schemas.openxmlformats.org/drawingml/2006/main" xmlns:pic="http://schemas.openxmlformats.org/drawingml/2006/picture">
            <wp:extent cx="6035040" cy="3583305"/>
            <wp:docPr id="2" name="Picture 2"/>
            <wp:cNvGraphicFramePr>
              <a:graphicFrameLocks noChangeAspect="1"/>
            </wp:cNvGraphicFramePr>
            <a:graphic>
              <a:graphicData uri="http://schemas.openxmlformats.org/drawingml/2006/picture">
                <pic:pic>
                  <pic:nvPicPr>
                    <pic:cNvPr id="0" name="fig_icd_4_1_output.png"/>
                    <pic:cNvPicPr/>
                  </pic:nvPicPr>
                  <pic:blipFill>
                    <a:blip r:embed="rId10"/>
                    <a:stretch>
                      <a:fillRect/>
                    </a:stretch>
                  </pic:blipFill>
                  <pic:spPr>
                    <a:xfrm>
                      <a:off x="0" y="0"/>
                      <a:ext cx="6035040" cy="3583305"/>
                    </a:xfrm>
                    <a:prstGeom prst="rect"/>
                  </pic:spPr>
                </pic:pic>
              </a:graphicData>
            </a:graphic>
          </wp:inline>
        </w:drawing>
      </w:r>
    </w:p>
    <w:p>
      <w:pPr>
        <w:pStyle w:val="Caption"/>
        <w:jc w:val="center"/>
      </w:pPr>
      <w:r>
        <w:t>Figure 4-1. Output File Interface - CSV Contracts</w:t>
      </w:r>
    </w:p>
    <w:p>
      <w:pPr>
        <w:pStyle w:val="Heading2"/>
      </w:pPr>
      <w:r>
        <w:t>4.1 objects.csv</w:t>
      </w:r>
    </w:p>
    <w:p>
      <w:r>
        <w:t>&lt;input_file_stem&gt;_objects.csv preserves the Phase 1 object inventory schema.</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Column</w:t>
            </w:r>
          </w:p>
        </w:tc>
        <w:tc>
          <w:tcPr>
            <w:tcW w:type="dxa" w:w="2520"/>
            <w:vAlign w:val="top"/>
            <w:shd w:fill="D9EAF7"/>
          </w:tcPr>
          <w:p>
            <w:r/>
            <w:r>
              <w:rPr>
                <w:b/>
                <w:sz w:val="18"/>
              </w:rPr>
              <w:t>Type</w:t>
            </w:r>
          </w:p>
        </w:tc>
        <w:tc>
          <w:tcPr>
            <w:tcW w:type="dxa" w:w="2520"/>
            <w:vAlign w:val="top"/>
            <w:shd w:fill="D9EAF7"/>
          </w:tcPr>
          <w:p>
            <w:r/>
            <w:r>
              <w:rPr>
                <w:b/>
                <w:sz w:val="18"/>
              </w:rPr>
              <w:t>Nullable</w:t>
            </w:r>
          </w:p>
        </w:tc>
        <w:tc>
          <w:tcPr>
            <w:tcW w:type="dxa" w:w="2520"/>
            <w:vAlign w:val="top"/>
            <w:shd w:fill="D9EAF7"/>
          </w:tcPr>
          <w:p>
            <w:r/>
            <w:r>
              <w:rPr>
                <w:b/>
                <w:sz w:val="18"/>
              </w:rPr>
              <w:t>Description</w:t>
            </w:r>
          </w:p>
        </w:tc>
      </w:tr>
      <w:tr>
        <w:tc>
          <w:tcPr>
            <w:tcW w:type="dxa" w:w="2520"/>
            <w:vAlign w:val="top"/>
          </w:tcPr>
          <w:p>
            <w:r/>
            <w:r>
              <w:rPr>
                <w:b w:val="0"/>
                <w:sz w:val="18"/>
              </w:rPr>
              <w:t>object_id</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Unique extractor-generated ID.</w:t>
            </w:r>
          </w:p>
        </w:tc>
      </w:tr>
      <w:tr>
        <w:tc>
          <w:tcPr>
            <w:tcW w:type="dxa" w:w="2520"/>
            <w:vAlign w:val="top"/>
          </w:tcPr>
          <w:p>
            <w:r/>
            <w:r>
              <w:rPr>
                <w:b w:val="0"/>
                <w:sz w:val="18"/>
              </w:rPr>
              <w:t>slide_number</w:t>
            </w:r>
          </w:p>
        </w:tc>
        <w:tc>
          <w:tcPr>
            <w:tcW w:type="dxa" w:w="2520"/>
            <w:vAlign w:val="top"/>
          </w:tcPr>
          <w:p>
            <w:r/>
            <w:r>
              <w:rPr>
                <w:b w:val="0"/>
                <w:sz w:val="18"/>
              </w:rPr>
              <w:t>integer</w:t>
            </w:r>
          </w:p>
        </w:tc>
        <w:tc>
          <w:tcPr>
            <w:tcW w:type="dxa" w:w="2520"/>
            <w:vAlign w:val="top"/>
          </w:tcPr>
          <w:p>
            <w:r/>
            <w:r>
              <w:rPr>
                <w:b w:val="0"/>
                <w:sz w:val="18"/>
              </w:rPr>
              <w:t>No</w:t>
            </w:r>
          </w:p>
        </w:tc>
        <w:tc>
          <w:tcPr>
            <w:tcW w:type="dxa" w:w="2520"/>
            <w:vAlign w:val="top"/>
          </w:tcPr>
          <w:p>
            <w:r/>
            <w:r>
              <w:rPr>
                <w:b w:val="0"/>
                <w:sz w:val="18"/>
              </w:rPr>
              <w:t>One-based slide number.</w:t>
            </w:r>
          </w:p>
        </w:tc>
      </w:tr>
      <w:tr>
        <w:tc>
          <w:tcPr>
            <w:tcW w:type="dxa" w:w="2520"/>
            <w:vAlign w:val="top"/>
          </w:tcPr>
          <w:p>
            <w:r/>
            <w:r>
              <w:rPr>
                <w:b w:val="0"/>
                <w:sz w:val="18"/>
              </w:rPr>
              <w:t>parent_group_id</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Parent group ID if nested.</w:t>
            </w:r>
          </w:p>
        </w:tc>
      </w:tr>
      <w:tr>
        <w:tc>
          <w:tcPr>
            <w:tcW w:type="dxa" w:w="2520"/>
            <w:vAlign w:val="top"/>
          </w:tcPr>
          <w:p>
            <w:r/>
            <w:r>
              <w:rPr>
                <w:b w:val="0"/>
                <w:sz w:val="18"/>
              </w:rPr>
              <w:t>shape_name</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PowerPoint internal shape name.</w:t>
            </w:r>
          </w:p>
        </w:tc>
      </w:tr>
      <w:tr>
        <w:tc>
          <w:tcPr>
            <w:tcW w:type="dxa" w:w="2520"/>
            <w:vAlign w:val="top"/>
          </w:tcPr>
          <w:p>
            <w:r/>
            <w:r>
              <w:rPr>
                <w:b w:val="0"/>
                <w:sz w:val="18"/>
              </w:rPr>
              <w:t>shape_type</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Readable shape category.</w:t>
            </w:r>
          </w:p>
        </w:tc>
      </w:tr>
      <w:tr>
        <w:tc>
          <w:tcPr>
            <w:tcW w:type="dxa" w:w="2520"/>
            <w:vAlign w:val="top"/>
          </w:tcPr>
          <w:p>
            <w:r/>
            <w:r>
              <w:rPr>
                <w:b w:val="0"/>
                <w:sz w:val="18"/>
              </w:rPr>
              <w:t>text</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Extracted text or blank.</w:t>
            </w:r>
          </w:p>
        </w:tc>
      </w:tr>
      <w:tr>
        <w:tc>
          <w:tcPr>
            <w:tcW w:type="dxa" w:w="2520"/>
            <w:vAlign w:val="top"/>
          </w:tcPr>
          <w:p>
            <w:r/>
            <w:r>
              <w:rPr>
                <w:b w:val="0"/>
                <w:sz w:val="18"/>
              </w:rPr>
              <w:t>left_in</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Left coordinate in inches.</w:t>
            </w:r>
          </w:p>
        </w:tc>
      </w:tr>
      <w:tr>
        <w:tc>
          <w:tcPr>
            <w:tcW w:type="dxa" w:w="2520"/>
            <w:vAlign w:val="top"/>
          </w:tcPr>
          <w:p>
            <w:r/>
            <w:r>
              <w:rPr>
                <w:b w:val="0"/>
                <w:sz w:val="18"/>
              </w:rPr>
              <w:t>top_in</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Top coordinate in inches.</w:t>
            </w:r>
          </w:p>
        </w:tc>
      </w:tr>
      <w:tr>
        <w:tc>
          <w:tcPr>
            <w:tcW w:type="dxa" w:w="2520"/>
            <w:vAlign w:val="top"/>
          </w:tcPr>
          <w:p>
            <w:r/>
            <w:r>
              <w:rPr>
                <w:b w:val="0"/>
                <w:sz w:val="18"/>
              </w:rPr>
              <w:t>width_in</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Width in inches.</w:t>
            </w:r>
          </w:p>
        </w:tc>
      </w:tr>
      <w:tr>
        <w:tc>
          <w:tcPr>
            <w:tcW w:type="dxa" w:w="2520"/>
            <w:vAlign w:val="top"/>
          </w:tcPr>
          <w:p>
            <w:r/>
            <w:r>
              <w:rPr>
                <w:b w:val="0"/>
                <w:sz w:val="18"/>
              </w:rPr>
              <w:t>height_in</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Height in inches.</w:t>
            </w:r>
          </w:p>
        </w:tc>
      </w:tr>
      <w:tr>
        <w:tc>
          <w:tcPr>
            <w:tcW w:type="dxa" w:w="2520"/>
            <w:vAlign w:val="top"/>
          </w:tcPr>
          <w:p>
            <w:r/>
            <w:r>
              <w:rPr>
                <w:b w:val="0"/>
                <w:sz w:val="18"/>
              </w:rPr>
              <w:t>rotation</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Rotation in degrees when available.</w:t>
            </w:r>
          </w:p>
        </w:tc>
      </w:tr>
    </w:tbl>
    <w:p/>
    <w:p>
      <w:pPr>
        <w:pStyle w:val="Heading2"/>
      </w:pPr>
      <w:r>
        <w:t>4.2 relationships.csv</w:t>
      </w:r>
    </w:p>
    <w:p>
      <w:r>
        <w:t>&lt;input_file_stem&gt;_relationships.csv is additive and contains connector-derived relationships.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Column</w:t>
            </w:r>
          </w:p>
        </w:tc>
        <w:tc>
          <w:tcPr>
            <w:tcW w:type="dxa" w:w="2520"/>
            <w:vAlign w:val="top"/>
            <w:shd w:fill="D9EAF7"/>
          </w:tcPr>
          <w:p>
            <w:r/>
            <w:r>
              <w:rPr>
                <w:b/>
                <w:sz w:val="18"/>
              </w:rPr>
              <w:t>Type</w:t>
            </w:r>
          </w:p>
        </w:tc>
        <w:tc>
          <w:tcPr>
            <w:tcW w:type="dxa" w:w="2520"/>
            <w:vAlign w:val="top"/>
            <w:shd w:fill="D9EAF7"/>
          </w:tcPr>
          <w:p>
            <w:r/>
            <w:r>
              <w:rPr>
                <w:b/>
                <w:sz w:val="18"/>
              </w:rPr>
              <w:t>Nullable</w:t>
            </w:r>
          </w:p>
        </w:tc>
        <w:tc>
          <w:tcPr>
            <w:tcW w:type="dxa" w:w="2520"/>
            <w:vAlign w:val="top"/>
            <w:shd w:fill="D9EAF7"/>
          </w:tcPr>
          <w:p>
            <w:r/>
            <w:r>
              <w:rPr>
                <w:b/>
                <w:sz w:val="18"/>
              </w:rPr>
              <w:t>Description</w:t>
            </w:r>
          </w:p>
        </w:tc>
      </w:tr>
      <w:tr>
        <w:tc>
          <w:tcPr>
            <w:tcW w:type="dxa" w:w="2520"/>
            <w:vAlign w:val="top"/>
          </w:tcPr>
          <w:p>
            <w:r/>
            <w:r>
              <w:rPr>
                <w:b w:val="0"/>
                <w:sz w:val="18"/>
              </w:rPr>
              <w:t>relationship_id</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Unique extractor-generated relationship ID.</w:t>
            </w:r>
          </w:p>
        </w:tc>
      </w:tr>
      <w:tr>
        <w:tc>
          <w:tcPr>
            <w:tcW w:type="dxa" w:w="2520"/>
            <w:vAlign w:val="top"/>
          </w:tcPr>
          <w:p>
            <w:r/>
            <w:r>
              <w:rPr>
                <w:b w:val="0"/>
                <w:sz w:val="18"/>
              </w:rPr>
              <w:t>slide_number</w:t>
            </w:r>
          </w:p>
        </w:tc>
        <w:tc>
          <w:tcPr>
            <w:tcW w:type="dxa" w:w="2520"/>
            <w:vAlign w:val="top"/>
          </w:tcPr>
          <w:p>
            <w:r/>
            <w:r>
              <w:rPr>
                <w:b w:val="0"/>
                <w:sz w:val="18"/>
              </w:rPr>
              <w:t>integer</w:t>
            </w:r>
          </w:p>
        </w:tc>
        <w:tc>
          <w:tcPr>
            <w:tcW w:type="dxa" w:w="2520"/>
            <w:vAlign w:val="top"/>
          </w:tcPr>
          <w:p>
            <w:r/>
            <w:r>
              <w:rPr>
                <w:b w:val="0"/>
                <w:sz w:val="18"/>
              </w:rPr>
              <w:t>No</w:t>
            </w:r>
          </w:p>
        </w:tc>
        <w:tc>
          <w:tcPr>
            <w:tcW w:type="dxa" w:w="2520"/>
            <w:vAlign w:val="top"/>
          </w:tcPr>
          <w:p>
            <w:r/>
            <w:r>
              <w:rPr>
                <w:b w:val="0"/>
                <w:sz w:val="18"/>
              </w:rPr>
              <w:t>One-based slide number.</w:t>
            </w:r>
          </w:p>
        </w:tc>
      </w:tr>
      <w:tr>
        <w:tc>
          <w:tcPr>
            <w:tcW w:type="dxa" w:w="2520"/>
            <w:vAlign w:val="top"/>
          </w:tcPr>
          <w:p>
            <w:r/>
            <w:r>
              <w:rPr>
                <w:b w:val="0"/>
                <w:sz w:val="18"/>
              </w:rPr>
              <w:t>connector_id</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Object ID of the connector object.</w:t>
            </w:r>
          </w:p>
        </w:tc>
      </w:tr>
      <w:tr>
        <w:tc>
          <w:tcPr>
            <w:tcW w:type="dxa" w:w="2520"/>
            <w:vAlign w:val="top"/>
          </w:tcPr>
          <w:p>
            <w:r/>
            <w:r>
              <w:rPr>
                <w:b w:val="0"/>
                <w:sz w:val="18"/>
              </w:rPr>
              <w:t>source_object_id</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Detected source object ID.</w:t>
            </w:r>
          </w:p>
        </w:tc>
      </w:tr>
      <w:tr>
        <w:tc>
          <w:tcPr>
            <w:tcW w:type="dxa" w:w="2520"/>
            <w:vAlign w:val="top"/>
          </w:tcPr>
          <w:p>
            <w:r/>
            <w:r>
              <w:rPr>
                <w:b w:val="0"/>
                <w:sz w:val="18"/>
              </w:rPr>
              <w:t>target_object_id</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Detected target object ID.</w:t>
            </w:r>
          </w:p>
        </w:tc>
      </w:tr>
      <w:tr>
        <w:tc>
          <w:tcPr>
            <w:tcW w:type="dxa" w:w="2520"/>
            <w:vAlign w:val="top"/>
          </w:tcPr>
          <w:p>
            <w:r/>
            <w:r>
              <w:rPr>
                <w:b w:val="0"/>
                <w:sz w:val="18"/>
              </w:rPr>
              <w:t>relationship_type</w:t>
            </w:r>
          </w:p>
        </w:tc>
        <w:tc>
          <w:tcPr>
            <w:tcW w:type="dxa" w:w="2520"/>
            <w:vAlign w:val="top"/>
          </w:tcPr>
          <w:p>
            <w:r/>
            <w:r>
              <w:rPr>
                <w:b w:val="0"/>
                <w:sz w:val="18"/>
              </w:rPr>
              <w:t>string</w:t>
            </w:r>
          </w:p>
        </w:tc>
        <w:tc>
          <w:tcPr>
            <w:tcW w:type="dxa" w:w="2520"/>
            <w:vAlign w:val="top"/>
          </w:tcPr>
          <w:p>
            <w:r/>
            <w:r>
              <w:rPr>
                <w:b w:val="0"/>
                <w:sz w:val="18"/>
              </w:rPr>
              <w:t>No</w:t>
            </w:r>
          </w:p>
        </w:tc>
        <w:tc>
          <w:tcPr>
            <w:tcW w:type="dxa" w:w="2520"/>
            <w:vAlign w:val="top"/>
          </w:tcPr>
          <w:p>
            <w:r/>
            <w:r>
              <w:rPr>
                <w:b w:val="0"/>
                <w:sz w:val="18"/>
              </w:rPr>
              <w:t>Connector-derived relationship type.</w:t>
            </w:r>
          </w:p>
        </w:tc>
      </w:tr>
      <w:tr>
        <w:tc>
          <w:tcPr>
            <w:tcW w:type="dxa" w:w="2520"/>
            <w:vAlign w:val="top"/>
          </w:tcPr>
          <w:p>
            <w:r/>
            <w:r>
              <w:rPr>
                <w:b w:val="0"/>
                <w:sz w:val="18"/>
              </w:rPr>
              <w:t>confidence</w:t>
            </w:r>
          </w:p>
        </w:tc>
        <w:tc>
          <w:tcPr>
            <w:tcW w:type="dxa" w:w="2520"/>
            <w:vAlign w:val="top"/>
          </w:tcPr>
          <w:p>
            <w:r/>
            <w:r>
              <w:rPr>
                <w:b w:val="0"/>
                <w:sz w:val="18"/>
              </w:rPr>
              <w:t>float</w:t>
            </w:r>
          </w:p>
        </w:tc>
        <w:tc>
          <w:tcPr>
            <w:tcW w:type="dxa" w:w="2520"/>
            <w:vAlign w:val="top"/>
          </w:tcPr>
          <w:p>
            <w:r/>
            <w:r>
              <w:rPr>
                <w:b w:val="0"/>
                <w:sz w:val="18"/>
              </w:rPr>
              <w:t>Yes</w:t>
            </w:r>
          </w:p>
        </w:tc>
        <w:tc>
          <w:tcPr>
            <w:tcW w:type="dxa" w:w="2520"/>
            <w:vAlign w:val="top"/>
          </w:tcPr>
          <w:p>
            <w:r/>
            <w:r>
              <w:rPr>
                <w:b w:val="0"/>
                <w:sz w:val="18"/>
              </w:rPr>
              <w:t>Extractor confidence value when available.</w:t>
            </w:r>
          </w:p>
        </w:tc>
      </w:tr>
      <w:tr>
        <w:tc>
          <w:tcPr>
            <w:tcW w:type="dxa" w:w="2520"/>
            <w:vAlign w:val="top"/>
          </w:tcPr>
          <w:p>
            <w:r/>
            <w:r>
              <w:rPr>
                <w:b w:val="0"/>
                <w:sz w:val="18"/>
              </w:rPr>
              <w:t>label_text</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Associated label text when available.</w:t>
            </w:r>
          </w:p>
        </w:tc>
      </w:tr>
      <w:tr>
        <w:tc>
          <w:tcPr>
            <w:tcW w:type="dxa" w:w="2520"/>
            <w:vAlign w:val="top"/>
          </w:tcPr>
          <w:p>
            <w:r/>
            <w:r>
              <w:rPr>
                <w:b w:val="0"/>
                <w:sz w:val="18"/>
              </w:rPr>
              <w:t>notes</w:t>
            </w:r>
          </w:p>
        </w:tc>
        <w:tc>
          <w:tcPr>
            <w:tcW w:type="dxa" w:w="2520"/>
            <w:vAlign w:val="top"/>
          </w:tcPr>
          <w:p>
            <w:r/>
            <w:r>
              <w:rPr>
                <w:b w:val="0"/>
                <w:sz w:val="18"/>
              </w:rPr>
              <w:t>string</w:t>
            </w:r>
          </w:p>
        </w:tc>
        <w:tc>
          <w:tcPr>
            <w:tcW w:type="dxa" w:w="2520"/>
            <w:vAlign w:val="top"/>
          </w:tcPr>
          <w:p>
            <w:r/>
            <w:r>
              <w:rPr>
                <w:b w:val="0"/>
                <w:sz w:val="18"/>
              </w:rPr>
              <w:t>Yes</w:t>
            </w:r>
          </w:p>
        </w:tc>
        <w:tc>
          <w:tcPr>
            <w:tcW w:type="dxa" w:w="2520"/>
            <w:vAlign w:val="top"/>
          </w:tcPr>
          <w:p>
            <w:r/>
            <w:r>
              <w:rPr>
                <w:b w:val="0"/>
                <w:sz w:val="18"/>
              </w:rPr>
              <w:t>Implementation notes or limitations.</w:t>
            </w:r>
          </w:p>
        </w:tc>
      </w:tr>
    </w:tbl>
    <w:p/>
    <w:p>
      <w:pPr>
        <w:pStyle w:val="Heading1"/>
      </w:pPr>
      <w:r>
        <w:t>5. Internal Module Interfaces</w:t>
      </w:r>
    </w:p>
    <w:p>
      <w:r>
        <w:t>The internal module boundaries are part of the baseline interface. Object extraction owns SlideObject production. Relationship extraction consumes SlideObject records and produces Relationship records. CSV serialization writes output rows without owning extraction logic.</w:t>
      </w:r>
    </w:p>
    <w:p>
      <w:pPr>
        <w:jc w:val="center"/>
      </w:pPr>
      <w:r>
        <w:drawing>
          <wp:inline xmlns:a="http://schemas.openxmlformats.org/drawingml/2006/main" xmlns:pic="http://schemas.openxmlformats.org/drawingml/2006/picture">
            <wp:extent cx="6035040" cy="3583305"/>
            <wp:docPr id="3" name="Picture 3"/>
            <wp:cNvGraphicFramePr>
              <a:graphicFrameLocks noChangeAspect="1"/>
            </wp:cNvGraphicFramePr>
            <a:graphic>
              <a:graphicData uri="http://schemas.openxmlformats.org/drawingml/2006/picture">
                <pic:pic>
                  <pic:nvPicPr>
                    <pic:cNvPr id="0" name="fig_7_2_dependency.png"/>
                    <pic:cNvPicPr/>
                  </pic:nvPicPr>
                  <pic:blipFill>
                    <a:blip r:embed="rId11"/>
                    <a:stretch>
                      <a:fillRect/>
                    </a:stretch>
                  </pic:blipFill>
                  <pic:spPr>
                    <a:xfrm>
                      <a:off x="0" y="0"/>
                      <a:ext cx="6035040" cy="3583305"/>
                    </a:xfrm>
                    <a:prstGeom prst="rect"/>
                  </pic:spPr>
                </pic:pic>
              </a:graphicData>
            </a:graphic>
          </wp:inline>
        </w:drawing>
      </w:r>
    </w:p>
    <w:p>
      <w:pPr>
        <w:pStyle w:val="Caption"/>
        <w:jc w:val="center"/>
      </w:pPr>
      <w:r>
        <w:t>Figure 5-1. Internal Module Interface and Dependency Direction</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Module</w:t>
            </w:r>
          </w:p>
        </w:tc>
        <w:tc>
          <w:tcPr>
            <w:tcW w:type="dxa" w:w="3360"/>
            <w:vAlign w:val="top"/>
            <w:shd w:fill="D9EAF7"/>
          </w:tcPr>
          <w:p>
            <w:r/>
            <w:r>
              <w:rPr>
                <w:b/>
                <w:sz w:val="18"/>
              </w:rPr>
              <w:t>Public Role</w:t>
            </w:r>
          </w:p>
        </w:tc>
        <w:tc>
          <w:tcPr>
            <w:tcW w:type="dxa" w:w="3360"/>
            <w:vAlign w:val="top"/>
            <w:shd w:fill="D9EAF7"/>
          </w:tcPr>
          <w:p>
            <w:r/>
            <w:r>
              <w:rPr>
                <w:b/>
                <w:sz w:val="18"/>
              </w:rPr>
              <w:t>Interface Contract</w:t>
            </w:r>
          </w:p>
        </w:tc>
      </w:tr>
      <w:tr>
        <w:tc>
          <w:tcPr>
            <w:tcW w:type="dxa" w:w="3360"/>
            <w:vAlign w:val="top"/>
          </w:tcPr>
          <w:p>
            <w:r/>
            <w:r>
              <w:rPr>
                <w:b w:val="0"/>
                <w:sz w:val="18"/>
              </w:rPr>
              <w:t>main.py</w:t>
            </w:r>
          </w:p>
        </w:tc>
        <w:tc>
          <w:tcPr>
            <w:tcW w:type="dxa" w:w="3360"/>
            <w:vAlign w:val="top"/>
          </w:tcPr>
          <w:p>
            <w:r/>
            <w:r>
              <w:rPr>
                <w:b w:val="0"/>
                <w:sz w:val="18"/>
              </w:rPr>
              <w:t>CLI orchestrator</w:t>
            </w:r>
          </w:p>
        </w:tc>
        <w:tc>
          <w:tcPr>
            <w:tcW w:type="dxa" w:w="3360"/>
            <w:vAlign w:val="top"/>
          </w:tcPr>
          <w:p>
            <w:r/>
            <w:r>
              <w:rPr>
                <w:b w:val="0"/>
                <w:sz w:val="18"/>
              </w:rPr>
              <w:t>Calls domain modules and writes all downstream outputs.</w:t>
            </w:r>
          </w:p>
        </w:tc>
      </w:tr>
      <w:tr>
        <w:tc>
          <w:tcPr>
            <w:tcW w:type="dxa" w:w="3360"/>
            <w:vAlign w:val="top"/>
          </w:tcPr>
          <w:p>
            <w:r/>
            <w:r>
              <w:rPr>
                <w:b w:val="0"/>
                <w:sz w:val="18"/>
              </w:rPr>
              <w:t>extract_pptx_objects.py</w:t>
            </w:r>
          </w:p>
        </w:tc>
        <w:tc>
          <w:tcPr>
            <w:tcW w:type="dxa" w:w="3360"/>
            <w:vAlign w:val="top"/>
          </w:tcPr>
          <w:p>
            <w:r/>
            <w:r>
              <w:rPr>
                <w:b w:val="0"/>
                <w:sz w:val="18"/>
              </w:rPr>
              <w:t>Object domain</w:t>
            </w:r>
          </w:p>
        </w:tc>
        <w:tc>
          <w:tcPr>
            <w:tcW w:type="dxa" w:w="3360"/>
            <w:vAlign w:val="top"/>
          </w:tcPr>
          <w:p>
            <w:r/>
            <w:r>
              <w:rPr>
                <w:b w:val="0"/>
                <w:sz w:val="18"/>
              </w:rPr>
              <w:t>Produces List[SlideObject].</w:t>
            </w:r>
          </w:p>
        </w:tc>
      </w:tr>
      <w:tr>
        <w:tc>
          <w:tcPr>
            <w:tcW w:type="dxa" w:w="3360"/>
            <w:vAlign w:val="top"/>
          </w:tcPr>
          <w:p>
            <w:r/>
            <w:r>
              <w:rPr>
                <w:b w:val="0"/>
                <w:sz w:val="18"/>
              </w:rPr>
              <w:t>extract_pptx_relationships.py</w:t>
            </w:r>
          </w:p>
        </w:tc>
        <w:tc>
          <w:tcPr>
            <w:tcW w:type="dxa" w:w="3360"/>
            <w:vAlign w:val="top"/>
          </w:tcPr>
          <w:p>
            <w:r/>
            <w:r>
              <w:rPr>
                <w:b w:val="0"/>
                <w:sz w:val="18"/>
              </w:rPr>
              <w:t>Relationship domain</w:t>
            </w:r>
          </w:p>
        </w:tc>
        <w:tc>
          <w:tcPr>
            <w:tcW w:type="dxa" w:w="3360"/>
            <w:vAlign w:val="top"/>
          </w:tcPr>
          <w:p>
            <w:r/>
            <w:r>
              <w:rPr>
                <w:b w:val="0"/>
                <w:sz w:val="18"/>
              </w:rPr>
              <w:t>Consumes List[SlideObject] and produces List[Relationship].</w:t>
            </w:r>
          </w:p>
        </w:tc>
      </w:tr>
      <w:tr>
        <w:tc>
          <w:tcPr>
            <w:tcW w:type="dxa" w:w="3360"/>
            <w:vAlign w:val="top"/>
          </w:tcPr>
          <w:p>
            <w:r/>
            <w:r>
              <w:rPr>
                <w:b w:val="0"/>
                <w:sz w:val="18"/>
              </w:rPr>
              <w:t>models.py</w:t>
            </w:r>
          </w:p>
        </w:tc>
        <w:tc>
          <w:tcPr>
            <w:tcW w:type="dxa" w:w="3360"/>
            <w:vAlign w:val="top"/>
          </w:tcPr>
          <w:p>
            <w:r/>
            <w:r>
              <w:rPr>
                <w:b w:val="0"/>
                <w:sz w:val="18"/>
              </w:rPr>
              <w:t>Shared model boundary</w:t>
            </w:r>
          </w:p>
        </w:tc>
        <w:tc>
          <w:tcPr>
            <w:tcW w:type="dxa" w:w="3360"/>
            <w:vAlign w:val="top"/>
          </w:tcPr>
          <w:p>
            <w:r/>
            <w:r>
              <w:rPr>
                <w:b w:val="0"/>
                <w:sz w:val="18"/>
              </w:rPr>
              <w:t>Defines dataclasses and schema constants.</w:t>
            </w:r>
          </w:p>
        </w:tc>
      </w:tr>
      <w:tr>
        <w:tc>
          <w:tcPr>
            <w:tcW w:type="dxa" w:w="3360"/>
            <w:vAlign w:val="top"/>
          </w:tcPr>
          <w:p>
            <w:r/>
            <w:r>
              <w:rPr>
                <w:b w:val="0"/>
                <w:sz w:val="18"/>
              </w:rPr>
              <w:t>csv_writer.py</w:t>
            </w:r>
          </w:p>
        </w:tc>
        <w:tc>
          <w:tcPr>
            <w:tcW w:type="dxa" w:w="3360"/>
            <w:vAlign w:val="top"/>
          </w:tcPr>
          <w:p>
            <w:r/>
            <w:r>
              <w:rPr>
                <w:b w:val="0"/>
                <w:sz w:val="18"/>
              </w:rPr>
              <w:t>Serialization boundary</w:t>
            </w:r>
          </w:p>
        </w:tc>
        <w:tc>
          <w:tcPr>
            <w:tcW w:type="dxa" w:w="3360"/>
            <w:vAlign w:val="top"/>
          </w:tcPr>
          <w:p>
            <w:r/>
            <w:r>
              <w:rPr>
                <w:b w:val="0"/>
                <w:sz w:val="18"/>
              </w:rPr>
              <w:t>Writes objects.csv and relationships.csv.</w:t>
            </w:r>
          </w:p>
        </w:tc>
      </w:tr>
    </w:tbl>
    <w:p/>
    <w:p>
      <w:pPr>
        <w:pStyle w:val="Heading1"/>
      </w:pPr>
      <w:r>
        <w:t>6. Measurement and Identifier Interfaces</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Interface</w:t>
            </w:r>
          </w:p>
        </w:tc>
        <w:tc>
          <w:tcPr>
            <w:tcW w:type="dxa" w:w="5040"/>
            <w:vAlign w:val="top"/>
            <w:shd w:fill="D9EAF7"/>
          </w:tcPr>
          <w:p>
            <w:r/>
            <w:r>
              <w:rPr>
                <w:b/>
                <w:sz w:val="18"/>
              </w:rPr>
              <w:t>Contract</w:t>
            </w:r>
          </w:p>
        </w:tc>
      </w:tr>
      <w:tr>
        <w:tc>
          <w:tcPr>
            <w:tcW w:type="dxa" w:w="5040"/>
            <w:vAlign w:val="top"/>
          </w:tcPr>
          <w:p>
            <w:r/>
            <w:r>
              <w:rPr>
                <w:b w:val="0"/>
                <w:sz w:val="18"/>
              </w:rPr>
              <w:t>EMU conversion</w:t>
            </w:r>
          </w:p>
        </w:tc>
        <w:tc>
          <w:tcPr>
            <w:tcW w:type="dxa" w:w="5040"/>
            <w:vAlign w:val="top"/>
          </w:tcPr>
          <w:p>
            <w:r/>
            <w:r>
              <w:rPr>
                <w:b w:val="0"/>
                <w:sz w:val="18"/>
              </w:rPr>
              <w:t>PowerPoint EMUs are converted to inches using inches = EMU / 914400 and rounded to three decimal places.</w:t>
            </w:r>
          </w:p>
        </w:tc>
      </w:tr>
      <w:tr>
        <w:tc>
          <w:tcPr>
            <w:tcW w:type="dxa" w:w="5040"/>
            <w:vAlign w:val="top"/>
          </w:tcPr>
          <w:p>
            <w:r/>
            <w:r>
              <w:rPr>
                <w:b w:val="0"/>
                <w:sz w:val="18"/>
              </w:rPr>
              <w:t>Object ID convention</w:t>
            </w:r>
          </w:p>
        </w:tc>
        <w:tc>
          <w:tcPr>
            <w:tcW w:type="dxa" w:w="5040"/>
            <w:vAlign w:val="top"/>
          </w:tcPr>
          <w:p>
            <w:r/>
            <w:r>
              <w:rPr>
                <w:b w:val="0"/>
                <w:sz w:val="18"/>
              </w:rPr>
              <w:t>S&lt;slide_number: three digits&gt;_OBJ_&lt;sequence_number: four digits&gt;.</w:t>
            </w:r>
          </w:p>
        </w:tc>
      </w:tr>
      <w:tr>
        <w:tc>
          <w:tcPr>
            <w:tcW w:type="dxa" w:w="5040"/>
            <w:vAlign w:val="top"/>
          </w:tcPr>
          <w:p>
            <w:r/>
            <w:r>
              <w:rPr>
                <w:b w:val="0"/>
                <w:sz w:val="18"/>
              </w:rPr>
              <w:t>Relationship ID convention</w:t>
            </w:r>
          </w:p>
        </w:tc>
        <w:tc>
          <w:tcPr>
            <w:tcW w:type="dxa" w:w="5040"/>
            <w:vAlign w:val="top"/>
          </w:tcPr>
          <w:p>
            <w:r/>
            <w:r>
              <w:rPr>
                <w:b w:val="0"/>
                <w:sz w:val="18"/>
              </w:rPr>
              <w:t>S&lt;slide_number: three digits&gt;_REL_&lt;sequence_number: four digits&gt;.</w:t>
            </w:r>
          </w:p>
        </w:tc>
      </w:tr>
      <w:tr>
        <w:tc>
          <w:tcPr>
            <w:tcW w:type="dxa" w:w="5040"/>
            <w:vAlign w:val="top"/>
          </w:tcPr>
          <w:p>
            <w:r/>
            <w:r>
              <w:rPr>
                <w:b w:val="0"/>
                <w:sz w:val="18"/>
              </w:rPr>
              <w:t>Group containment</w:t>
            </w:r>
          </w:p>
        </w:tc>
        <w:tc>
          <w:tcPr>
            <w:tcW w:type="dxa" w:w="5040"/>
            <w:vAlign w:val="top"/>
          </w:tcPr>
          <w:p>
            <w:r/>
            <w:r>
              <w:rPr>
                <w:b w:val="0"/>
                <w:sz w:val="18"/>
              </w:rPr>
              <w:t>Child objects reference their group through parent_group_id.</w:t>
            </w:r>
          </w:p>
        </w:tc>
      </w:tr>
    </w:tbl>
    <w:p/>
    <w:p>
      <w:pPr>
        <w:pStyle w:val="Heading1"/>
      </w:pPr>
      <w:r>
        <w:t>7. Test Harness Interface</w:t>
      </w:r>
    </w:p>
    <w:p>
      <w:r>
        <w:t>The test harness interface uses the manifest to connect input files, expected object CSVs, expected relationship CSVs, and expected counts. Expected files are manually authored ground truth, not generated from the tool. Figure 7-1 shows the test harness interface boundary.</w:t>
      </w:r>
    </w:p>
    <w:p>
      <w:pPr>
        <w:jc w:val="center"/>
      </w:pPr>
      <w:r>
        <w:drawing>
          <wp:inline xmlns:a="http://schemas.openxmlformats.org/drawingml/2006/main" xmlns:pic="http://schemas.openxmlformats.org/drawingml/2006/picture">
            <wp:extent cx="6035040" cy="3583305"/>
            <wp:docPr id="4" name="Picture 4"/>
            <wp:cNvGraphicFramePr>
              <a:graphicFrameLocks noChangeAspect="1"/>
            </wp:cNvGraphicFramePr>
            <a:graphic>
              <a:graphicData uri="http://schemas.openxmlformats.org/drawingml/2006/picture">
                <pic:pic>
                  <pic:nvPicPr>
                    <pic:cNvPr id="0" name="fig_icd_8_1_test.png"/>
                    <pic:cNvPicPr/>
                  </pic:nvPicPr>
                  <pic:blipFill>
                    <a:blip r:embed="rId12"/>
                    <a:stretch>
                      <a:fillRect/>
                    </a:stretch>
                  </pic:blipFill>
                  <pic:spPr>
                    <a:xfrm>
                      <a:off x="0" y="0"/>
                      <a:ext cx="6035040" cy="3583305"/>
                    </a:xfrm>
                    <a:prstGeom prst="rect"/>
                  </pic:spPr>
                </pic:pic>
              </a:graphicData>
            </a:graphic>
          </wp:inline>
        </w:drawing>
      </w:r>
    </w:p>
    <w:p>
      <w:pPr>
        <w:pStyle w:val="Caption"/>
        <w:jc w:val="center"/>
      </w:pPr>
      <w:r>
        <w:t>Figure 7-1. Test Harness Interface - Expected versus Actual</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D9EAF7"/>
          </w:tcPr>
          <w:p>
            <w:r/>
            <w:r>
              <w:rPr>
                <w:b/>
                <w:sz w:val="18"/>
              </w:rPr>
              <w:t>Interface Item</w:t>
            </w:r>
          </w:p>
        </w:tc>
        <w:tc>
          <w:tcPr>
            <w:tcW w:type="dxa" w:w="5040"/>
            <w:vAlign w:val="top"/>
            <w:shd w:fill="D9EAF7"/>
          </w:tcPr>
          <w:p>
            <w:r/>
            <w:r>
              <w:rPr>
                <w:b/>
                <w:sz w:val="18"/>
              </w:rPr>
              <w:t>Contract</w:t>
            </w:r>
          </w:p>
        </w:tc>
      </w:tr>
      <w:tr>
        <w:tc>
          <w:tcPr>
            <w:tcW w:type="dxa" w:w="5040"/>
            <w:vAlign w:val="top"/>
          </w:tcPr>
          <w:p>
            <w:r/>
            <w:r>
              <w:rPr>
                <w:b w:val="0"/>
                <w:sz w:val="18"/>
              </w:rPr>
              <w:t>TEST_SUITE_MANIFEST.csv</w:t>
            </w:r>
          </w:p>
        </w:tc>
        <w:tc>
          <w:tcPr>
            <w:tcW w:type="dxa" w:w="5040"/>
            <w:vAlign w:val="top"/>
          </w:tcPr>
          <w:p>
            <w:r/>
            <w:r>
              <w:rPr>
                <w:b w:val="0"/>
                <w:sz w:val="18"/>
              </w:rPr>
              <w:t>Defines each test case, input file, expected output files, counts, and purpose.</w:t>
            </w:r>
          </w:p>
        </w:tc>
      </w:tr>
      <w:tr>
        <w:tc>
          <w:tcPr>
            <w:tcW w:type="dxa" w:w="5040"/>
            <w:vAlign w:val="top"/>
          </w:tcPr>
          <w:p>
            <w:r/>
            <w:r>
              <w:rPr>
                <w:b w:val="0"/>
                <w:sz w:val="18"/>
              </w:rPr>
              <w:t>test_suite/inputs</w:t>
            </w:r>
          </w:p>
        </w:tc>
        <w:tc>
          <w:tcPr>
            <w:tcW w:type="dxa" w:w="5040"/>
            <w:vAlign w:val="top"/>
          </w:tcPr>
          <w:p>
            <w:r/>
            <w:r>
              <w:rPr>
                <w:b w:val="0"/>
                <w:sz w:val="18"/>
              </w:rPr>
              <w:t>Contains PowerPoint files used as test inputs.</w:t>
            </w:r>
          </w:p>
        </w:tc>
      </w:tr>
      <w:tr>
        <w:tc>
          <w:tcPr>
            <w:tcW w:type="dxa" w:w="5040"/>
            <w:vAlign w:val="top"/>
          </w:tcPr>
          <w:p>
            <w:r/>
            <w:r>
              <w:rPr>
                <w:b w:val="0"/>
                <w:sz w:val="18"/>
              </w:rPr>
              <w:t>test_suite/expected</w:t>
            </w:r>
          </w:p>
        </w:tc>
        <w:tc>
          <w:tcPr>
            <w:tcW w:type="dxa" w:w="5040"/>
            <w:vAlign w:val="top"/>
          </w:tcPr>
          <w:p>
            <w:r/>
            <w:r>
              <w:rPr>
                <w:b w:val="0"/>
                <w:sz w:val="18"/>
              </w:rPr>
              <w:t>Contains manually authored expected objects and relationships CSVs.</w:t>
            </w:r>
          </w:p>
        </w:tc>
      </w:tr>
      <w:tr>
        <w:tc>
          <w:tcPr>
            <w:tcW w:type="dxa" w:w="5040"/>
            <w:vAlign w:val="top"/>
          </w:tcPr>
          <w:p>
            <w:r/>
            <w:r>
              <w:rPr>
                <w:b w:val="0"/>
                <w:sz w:val="18"/>
              </w:rPr>
              <w:t>actual output directory</w:t>
            </w:r>
          </w:p>
        </w:tc>
        <w:tc>
          <w:tcPr>
            <w:tcW w:type="dxa" w:w="5040"/>
            <w:vAlign w:val="top"/>
          </w:tcPr>
          <w:p>
            <w:r/>
            <w:r>
              <w:rPr>
                <w:b w:val="0"/>
                <w:sz w:val="18"/>
              </w:rPr>
              <w:t>Receives generated actual CSVs and test reports.</w:t>
            </w:r>
          </w:p>
        </w:tc>
      </w:tr>
      <w:tr>
        <w:tc>
          <w:tcPr>
            <w:tcW w:type="dxa" w:w="5040"/>
            <w:vAlign w:val="top"/>
          </w:tcPr>
          <w:p>
            <w:r/>
            <w:r>
              <w:rPr>
                <w:b w:val="0"/>
                <w:sz w:val="18"/>
              </w:rPr>
              <w:t>test_report.csv</w:t>
            </w:r>
          </w:p>
        </w:tc>
        <w:tc>
          <w:tcPr>
            <w:tcW w:type="dxa" w:w="5040"/>
            <w:vAlign w:val="top"/>
          </w:tcPr>
          <w:p>
            <w:r/>
            <w:r>
              <w:rPr>
                <w:b w:val="0"/>
                <w:sz w:val="18"/>
              </w:rPr>
              <w:t>Machine-readable pass/fail report.</w:t>
            </w:r>
          </w:p>
        </w:tc>
      </w:tr>
      <w:tr>
        <w:tc>
          <w:tcPr>
            <w:tcW w:type="dxa" w:w="5040"/>
            <w:vAlign w:val="top"/>
          </w:tcPr>
          <w:p>
            <w:r/>
            <w:r>
              <w:rPr>
                <w:b w:val="0"/>
                <w:sz w:val="18"/>
              </w:rPr>
              <w:t>test_report.docx</w:t>
            </w:r>
          </w:p>
        </w:tc>
        <w:tc>
          <w:tcPr>
            <w:tcW w:type="dxa" w:w="5040"/>
            <w:vAlign w:val="top"/>
          </w:tcPr>
          <w:p>
            <w:r/>
            <w:r>
              <w:rPr>
                <w:b w:val="0"/>
                <w:sz w:val="18"/>
              </w:rPr>
              <w:t>Human-readable Word report.</w:t>
            </w:r>
          </w:p>
        </w:tc>
      </w:tr>
    </w:tbl>
    <w:p/>
    <w:p>
      <w:pPr>
        <w:pStyle w:val="Heading1"/>
      </w:pPr>
      <w:r>
        <w:t>8. Error Interface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top"/>
            <w:shd w:fill="D9EAF7"/>
          </w:tcPr>
          <w:p>
            <w:r/>
            <w:r>
              <w:rPr>
                <w:b/>
                <w:sz w:val="18"/>
              </w:rPr>
              <w:t>Error / Condition</w:t>
            </w:r>
          </w:p>
        </w:tc>
        <w:tc>
          <w:tcPr>
            <w:tcW w:type="dxa" w:w="2520"/>
            <w:vAlign w:val="top"/>
            <w:shd w:fill="D9EAF7"/>
          </w:tcPr>
          <w:p>
            <w:r/>
            <w:r>
              <w:rPr>
                <w:b/>
                <w:sz w:val="18"/>
              </w:rPr>
              <w:t>Detected By</w:t>
            </w:r>
          </w:p>
        </w:tc>
        <w:tc>
          <w:tcPr>
            <w:tcW w:type="dxa" w:w="2520"/>
            <w:vAlign w:val="top"/>
            <w:shd w:fill="D9EAF7"/>
          </w:tcPr>
          <w:p>
            <w:r/>
            <w:r>
              <w:rPr>
                <w:b/>
                <w:sz w:val="18"/>
              </w:rPr>
              <w:t>Behavior</w:t>
            </w:r>
          </w:p>
        </w:tc>
        <w:tc>
          <w:tcPr>
            <w:tcW w:type="dxa" w:w="2520"/>
            <w:vAlign w:val="top"/>
            <w:shd w:fill="D9EAF7"/>
          </w:tcPr>
          <w:p>
            <w:r/>
            <w:r>
              <w:rPr>
                <w:b/>
                <w:sz w:val="18"/>
              </w:rPr>
              <w:t>Interface Impact</w:t>
            </w:r>
          </w:p>
        </w:tc>
      </w:tr>
      <w:tr>
        <w:tc>
          <w:tcPr>
            <w:tcW w:type="dxa" w:w="2520"/>
            <w:vAlign w:val="top"/>
          </w:tcPr>
          <w:p>
            <w:r/>
            <w:r>
              <w:rPr>
                <w:b w:val="0"/>
                <w:sz w:val="18"/>
              </w:rPr>
              <w:t>Input path does not exist</w:t>
            </w:r>
          </w:p>
        </w:tc>
        <w:tc>
          <w:tcPr>
            <w:tcW w:type="dxa" w:w="2520"/>
            <w:vAlign w:val="top"/>
          </w:tcPr>
          <w:p>
            <w:r/>
            <w:r>
              <w:rPr>
                <w:b w:val="0"/>
                <w:sz w:val="18"/>
              </w:rPr>
              <w:t>main()</w:t>
            </w:r>
          </w:p>
        </w:tc>
        <w:tc>
          <w:tcPr>
            <w:tcW w:type="dxa" w:w="2520"/>
            <w:vAlign w:val="top"/>
          </w:tcPr>
          <w:p>
            <w:r/>
            <w:r>
              <w:rPr>
                <w:b w:val="0"/>
                <w:sz w:val="18"/>
              </w:rPr>
              <w:t>Raise FileNotFoundError</w:t>
            </w:r>
          </w:p>
        </w:tc>
        <w:tc>
          <w:tcPr>
            <w:tcW w:type="dxa" w:w="2520"/>
            <w:vAlign w:val="top"/>
          </w:tcPr>
          <w:p>
            <w:r/>
            <w:r>
              <w:rPr>
                <w:b w:val="0"/>
                <w:sz w:val="18"/>
              </w:rPr>
              <w:t>No CSV produced.</w:t>
            </w:r>
          </w:p>
        </w:tc>
      </w:tr>
      <w:tr>
        <w:tc>
          <w:tcPr>
            <w:tcW w:type="dxa" w:w="2520"/>
            <w:vAlign w:val="top"/>
          </w:tcPr>
          <w:p>
            <w:r/>
            <w:r>
              <w:rPr>
                <w:b w:val="0"/>
                <w:sz w:val="18"/>
              </w:rPr>
              <w:t>Input path is not .pptx</w:t>
            </w:r>
          </w:p>
        </w:tc>
        <w:tc>
          <w:tcPr>
            <w:tcW w:type="dxa" w:w="2520"/>
            <w:vAlign w:val="top"/>
          </w:tcPr>
          <w:p>
            <w:r/>
            <w:r>
              <w:rPr>
                <w:b w:val="0"/>
                <w:sz w:val="18"/>
              </w:rPr>
              <w:t>main()</w:t>
            </w:r>
          </w:p>
        </w:tc>
        <w:tc>
          <w:tcPr>
            <w:tcW w:type="dxa" w:w="2520"/>
            <w:vAlign w:val="top"/>
          </w:tcPr>
          <w:p>
            <w:r/>
            <w:r>
              <w:rPr>
                <w:b w:val="0"/>
                <w:sz w:val="18"/>
              </w:rPr>
              <w:t>Raise ValueError</w:t>
            </w:r>
          </w:p>
        </w:tc>
        <w:tc>
          <w:tcPr>
            <w:tcW w:type="dxa" w:w="2520"/>
            <w:vAlign w:val="top"/>
          </w:tcPr>
          <w:p>
            <w:r/>
            <w:r>
              <w:rPr>
                <w:b w:val="0"/>
                <w:sz w:val="18"/>
              </w:rPr>
              <w:t>No CSV produced.</w:t>
            </w:r>
          </w:p>
        </w:tc>
      </w:tr>
      <w:tr>
        <w:tc>
          <w:tcPr>
            <w:tcW w:type="dxa" w:w="2520"/>
            <w:vAlign w:val="top"/>
          </w:tcPr>
          <w:p>
            <w:r/>
            <w:r>
              <w:rPr>
                <w:b w:val="0"/>
                <w:sz w:val="18"/>
              </w:rPr>
              <w:t>Output directory missing</w:t>
            </w:r>
          </w:p>
        </w:tc>
        <w:tc>
          <w:tcPr>
            <w:tcW w:type="dxa" w:w="2520"/>
            <w:vAlign w:val="top"/>
          </w:tcPr>
          <w:p>
            <w:r/>
            <w:r>
              <w:rPr>
                <w:b w:val="0"/>
                <w:sz w:val="18"/>
              </w:rPr>
              <w:t>csv_writer</w:t>
            </w:r>
          </w:p>
        </w:tc>
        <w:tc>
          <w:tcPr>
            <w:tcW w:type="dxa" w:w="2520"/>
            <w:vAlign w:val="top"/>
          </w:tcPr>
          <w:p>
            <w:r/>
            <w:r>
              <w:rPr>
                <w:b w:val="0"/>
                <w:sz w:val="18"/>
              </w:rPr>
              <w:t>Create directory</w:t>
            </w:r>
          </w:p>
        </w:tc>
        <w:tc>
          <w:tcPr>
            <w:tcW w:type="dxa" w:w="2520"/>
            <w:vAlign w:val="top"/>
          </w:tcPr>
          <w:p>
            <w:r/>
            <w:r>
              <w:rPr>
                <w:b w:val="0"/>
                <w:sz w:val="18"/>
              </w:rPr>
              <w:t>CSV produced.</w:t>
            </w:r>
          </w:p>
        </w:tc>
      </w:tr>
      <w:tr>
        <w:tc>
          <w:tcPr>
            <w:tcW w:type="dxa" w:w="2520"/>
            <w:vAlign w:val="top"/>
          </w:tcPr>
          <w:p>
            <w:r/>
            <w:r>
              <w:rPr>
                <w:b w:val="0"/>
                <w:sz w:val="18"/>
              </w:rPr>
              <w:t>Shape has no text</w:t>
            </w:r>
          </w:p>
        </w:tc>
        <w:tc>
          <w:tcPr>
            <w:tcW w:type="dxa" w:w="2520"/>
            <w:vAlign w:val="top"/>
          </w:tcPr>
          <w:p>
            <w:r/>
            <w:r>
              <w:rPr>
                <w:b w:val="0"/>
                <w:sz w:val="18"/>
              </w:rPr>
              <w:t>safe_text()</w:t>
            </w:r>
          </w:p>
        </w:tc>
        <w:tc>
          <w:tcPr>
            <w:tcW w:type="dxa" w:w="2520"/>
            <w:vAlign w:val="top"/>
          </w:tcPr>
          <w:p>
            <w:r/>
            <w:r>
              <w:rPr>
                <w:b w:val="0"/>
                <w:sz w:val="18"/>
              </w:rPr>
              <w:t>Return empty string</w:t>
            </w:r>
          </w:p>
        </w:tc>
        <w:tc>
          <w:tcPr>
            <w:tcW w:type="dxa" w:w="2520"/>
            <w:vAlign w:val="top"/>
          </w:tcPr>
          <w:p>
            <w:r/>
            <w:r>
              <w:rPr>
                <w:b w:val="0"/>
                <w:sz w:val="18"/>
              </w:rPr>
              <w:t>text column blank.</w:t>
            </w:r>
          </w:p>
        </w:tc>
      </w:tr>
      <w:tr>
        <w:tc>
          <w:tcPr>
            <w:tcW w:type="dxa" w:w="2520"/>
            <w:vAlign w:val="top"/>
          </w:tcPr>
          <w:p>
            <w:r/>
            <w:r>
              <w:rPr>
                <w:b w:val="0"/>
                <w:sz w:val="18"/>
              </w:rPr>
              <w:t>Missing geometry attribute</w:t>
            </w:r>
          </w:p>
        </w:tc>
        <w:tc>
          <w:tcPr>
            <w:tcW w:type="dxa" w:w="2520"/>
            <w:vAlign w:val="top"/>
          </w:tcPr>
          <w:p>
            <w:r/>
            <w:r>
              <w:rPr>
                <w:b w:val="0"/>
                <w:sz w:val="18"/>
              </w:rPr>
              <w:t>object extraction</w:t>
            </w:r>
          </w:p>
        </w:tc>
        <w:tc>
          <w:tcPr>
            <w:tcW w:type="dxa" w:w="2520"/>
            <w:vAlign w:val="top"/>
          </w:tcPr>
          <w:p>
            <w:r/>
            <w:r>
              <w:rPr>
                <w:b w:val="0"/>
                <w:sz w:val="18"/>
              </w:rPr>
              <w:t>Return blank/null</w:t>
            </w:r>
          </w:p>
        </w:tc>
        <w:tc>
          <w:tcPr>
            <w:tcW w:type="dxa" w:w="2520"/>
            <w:vAlign w:val="top"/>
          </w:tcPr>
          <w:p>
            <w:r/>
            <w:r>
              <w:rPr>
                <w:b w:val="0"/>
                <w:sz w:val="18"/>
              </w:rPr>
              <w:t>Geometry column blank.</w:t>
            </w:r>
          </w:p>
        </w:tc>
      </w:tr>
      <w:tr>
        <w:tc>
          <w:tcPr>
            <w:tcW w:type="dxa" w:w="2520"/>
            <w:vAlign w:val="top"/>
          </w:tcPr>
          <w:p>
            <w:r/>
            <w:r>
              <w:rPr>
                <w:b w:val="0"/>
                <w:sz w:val="18"/>
              </w:rPr>
              <w:t>No relationships detected</w:t>
            </w:r>
          </w:p>
        </w:tc>
        <w:tc>
          <w:tcPr>
            <w:tcW w:type="dxa" w:w="2520"/>
            <w:vAlign w:val="top"/>
          </w:tcPr>
          <w:p>
            <w:r/>
            <w:r>
              <w:rPr>
                <w:b w:val="0"/>
                <w:sz w:val="18"/>
              </w:rPr>
              <w:t>relationship extraction</w:t>
            </w:r>
          </w:p>
        </w:tc>
        <w:tc>
          <w:tcPr>
            <w:tcW w:type="dxa" w:w="2520"/>
            <w:vAlign w:val="top"/>
          </w:tcPr>
          <w:p>
            <w:r/>
            <w:r>
              <w:rPr>
                <w:b w:val="0"/>
                <w:sz w:val="18"/>
              </w:rPr>
              <w:t>Write header-only relationships.csv</w:t>
            </w:r>
          </w:p>
        </w:tc>
        <w:tc>
          <w:tcPr>
            <w:tcW w:type="dxa" w:w="2520"/>
            <w:vAlign w:val="top"/>
          </w:tcPr>
          <w:p>
            <w:r/>
            <w:r>
              <w:rPr>
                <w:b w:val="0"/>
                <w:sz w:val="18"/>
              </w:rPr>
              <w:t>Known schema preserved.</w:t>
            </w:r>
          </w:p>
        </w:tc>
      </w:tr>
      <w:tr>
        <w:tc>
          <w:tcPr>
            <w:tcW w:type="dxa" w:w="2520"/>
            <w:vAlign w:val="top"/>
          </w:tcPr>
          <w:p>
            <w:r/>
            <w:r>
              <w:rPr>
                <w:b w:val="0"/>
                <w:sz w:val="18"/>
              </w:rPr>
              <w:t>Expected CSV missing</w:t>
            </w:r>
          </w:p>
        </w:tc>
        <w:tc>
          <w:tcPr>
            <w:tcW w:type="dxa" w:w="2520"/>
            <w:vAlign w:val="top"/>
          </w:tcPr>
          <w:p>
            <w:r/>
            <w:r>
              <w:rPr>
                <w:b w:val="0"/>
                <w:sz w:val="18"/>
              </w:rPr>
              <w:t>run_test_suite.py</w:t>
            </w:r>
          </w:p>
        </w:tc>
        <w:tc>
          <w:tcPr>
            <w:tcW w:type="dxa" w:w="2520"/>
            <w:vAlign w:val="top"/>
          </w:tcPr>
          <w:p>
            <w:r/>
            <w:r>
              <w:rPr>
                <w:b w:val="0"/>
                <w:sz w:val="18"/>
              </w:rPr>
              <w:t>Mark test error</w:t>
            </w:r>
          </w:p>
        </w:tc>
        <w:tc>
          <w:tcPr>
            <w:tcW w:type="dxa" w:w="2520"/>
            <w:vAlign w:val="top"/>
          </w:tcPr>
          <w:p>
            <w:r/>
            <w:r>
              <w:rPr>
                <w:b w:val="0"/>
                <w:sz w:val="18"/>
              </w:rPr>
              <w:t>Capability grading identifies setup issue.</w:t>
            </w:r>
          </w:p>
        </w:tc>
      </w:tr>
    </w:tbl>
    <w:p/>
    <w:p>
      <w:pPr>
        <w:pStyle w:val="Heading1"/>
      </w:pPr>
      <w:r>
        <w:t>9. Versioning and Compatibility</w:t>
      </w:r>
    </w:p>
    <w:p>
      <w:r>
        <w:t>The Phase 1 objects.csv schema remains the stable baseline interface. Relationship output is a separate additive interface. Top-level behavior of main.py is to produce all downstream output files required by the data ingestion environment. Future schema changes require explicit version updates and corresponding SDD/ICD updates with diagrams.</w:t>
      </w:r>
    </w:p>
    <w:p>
      <w:pPr>
        <w:pStyle w:val="Heading1"/>
      </w:pPr>
      <w:r>
        <w:t>Appendix A. Revision History</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top"/>
            <w:shd w:fill="D9EAF7"/>
          </w:tcPr>
          <w:p>
            <w:r/>
            <w:r>
              <w:rPr>
                <w:b/>
                <w:sz w:val="18"/>
              </w:rPr>
              <w:t>Version</w:t>
            </w:r>
          </w:p>
        </w:tc>
        <w:tc>
          <w:tcPr>
            <w:tcW w:type="dxa" w:w="3360"/>
            <w:vAlign w:val="top"/>
            <w:shd w:fill="D9EAF7"/>
          </w:tcPr>
          <w:p>
            <w:r/>
            <w:r>
              <w:rPr>
                <w:b/>
                <w:sz w:val="18"/>
              </w:rPr>
              <w:t>Date</w:t>
            </w:r>
          </w:p>
        </w:tc>
        <w:tc>
          <w:tcPr>
            <w:tcW w:type="dxa" w:w="3360"/>
            <w:vAlign w:val="top"/>
            <w:shd w:fill="D9EAF7"/>
          </w:tcPr>
          <w:p>
            <w:r/>
            <w:r>
              <w:rPr>
                <w:b/>
                <w:sz w:val="18"/>
              </w:rPr>
              <w:t>Description</w:t>
            </w:r>
          </w:p>
        </w:tc>
      </w:tr>
      <w:tr>
        <w:tc>
          <w:tcPr>
            <w:tcW w:type="dxa" w:w="3360"/>
            <w:vAlign w:val="top"/>
          </w:tcPr>
          <w:p>
            <w:r/>
            <w:r>
              <w:rPr>
                <w:b w:val="0"/>
                <w:sz w:val="18"/>
              </w:rPr>
              <w:t>0.4</w:t>
            </w:r>
          </w:p>
        </w:tc>
        <w:tc>
          <w:tcPr>
            <w:tcW w:type="dxa" w:w="3360"/>
            <w:vAlign w:val="top"/>
          </w:tcPr>
          <w:p>
            <w:r/>
            <w:r>
              <w:rPr>
                <w:b w:val="0"/>
                <w:sz w:val="18"/>
              </w:rPr>
              <w:t>2026-06-27</w:t>
            </w:r>
          </w:p>
        </w:tc>
        <w:tc>
          <w:tcPr>
            <w:tcW w:type="dxa" w:w="3360"/>
            <w:vAlign w:val="top"/>
          </w:tcPr>
          <w:p>
            <w:r/>
            <w:r>
              <w:rPr>
                <w:b w:val="0"/>
                <w:sz w:val="18"/>
              </w:rPr>
              <w:t>Populated ICD for Phase 1 object extraction utility.</w:t>
            </w:r>
          </w:p>
        </w:tc>
      </w:tr>
      <w:tr>
        <w:tc>
          <w:tcPr>
            <w:tcW w:type="dxa" w:w="3360"/>
            <w:vAlign w:val="top"/>
          </w:tcPr>
          <w:p>
            <w:r/>
            <w:r>
              <w:rPr>
                <w:b w:val="0"/>
                <w:sz w:val="18"/>
              </w:rPr>
              <w:t>0.5</w:t>
            </w:r>
          </w:p>
        </w:tc>
        <w:tc>
          <w:tcPr>
            <w:tcW w:type="dxa" w:w="3360"/>
            <w:vAlign w:val="top"/>
          </w:tcPr>
          <w:p>
            <w:r/>
            <w:r>
              <w:rPr>
                <w:b w:val="0"/>
                <w:sz w:val="18"/>
              </w:rPr>
              <w:t>2026-07-03</w:t>
            </w:r>
          </w:p>
        </w:tc>
        <w:tc>
          <w:tcPr>
            <w:tcW w:type="dxa" w:w="3360"/>
            <w:vAlign w:val="top"/>
          </w:tcPr>
          <w:p>
            <w:r/>
            <w:r>
              <w:rPr>
                <w:b w:val="0"/>
                <w:sz w:val="18"/>
              </w:rPr>
              <w:t>Updated ICD for modular object and relationship outputs, test harness Word report, control-logic test coverage, and graphical interface diagrams.</w:t>
            </w:r>
          </w:p>
        </w:tc>
      </w:tr>
    </w:tbl>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