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Design Description (SDD)</w:t>
        <w:br/>
        <w:t>PowerPoint Object Extraction Utility</w:t>
      </w:r>
    </w:p>
    <w:p>
      <w:pPr>
        <w:jc w:val="center"/>
      </w:pPr>
      <w:r>
        <w:rPr>
          <w:sz w:val="22"/>
        </w:rPr>
        <w:t>Version 0.5</w:t>
        <w:br/>
        <w:t>Phase 1+ - Modular Native Object, Connector Relationship, and Control-Logic Test Coverage</w:t>
        <w:br/>
        <w:t>Document Status: Draft baseline for implementation and review</w:t>
      </w:r>
    </w:p>
    <w:p/>
    <w:p>
      <w:pPr>
        <w:pStyle w:val="Heading1"/>
      </w:pPr>
      <w:r>
        <w:t>1. Introduction</w:t>
      </w:r>
    </w:p>
    <w:p>
      <w:pPr>
        <w:pStyle w:val="Heading2"/>
      </w:pPr>
      <w:r>
        <w:t>1.1 Purpose</w:t>
      </w:r>
    </w:p>
    <w:p>
      <w:r>
        <w:t>This Software Design Description defines Baseline v0.5 of the PowerPoint Object Extraction Utility. The design separates native object extraction from connector relationship extraction, preserves the Phase 1 objects.csv interface, and adds control-logic verification cases that exercise sensor-to-action-to-logic-gate-to-output relationship extraction.</w:t>
      </w:r>
    </w:p>
    <w:p>
      <w:pPr>
        <w:pStyle w:val="Heading2"/>
      </w:pPr>
      <w:r>
        <w:t>1.2 Scope</w:t>
      </w:r>
    </w:p>
    <w:p>
      <w:r>
        <w:t>The utility reads a Microsoft PowerPoint .pptx file, extracts native PowerPoint objects, derives connector-based relationships, and writes downstream-ready CSV outputs. Baseline v0.5 extends the verification baseline with control-logic diagrams and manually authored expected results. Semantic inference, OCR, flattened image parsing, and MBSE export remain future extension points.</w:t>
      </w:r>
    </w:p>
    <w:p>
      <w:pPr>
        <w:pStyle w:val="Heading2"/>
      </w:pPr>
      <w:r>
        <w:t>1.3 Documentation Standard</w:t>
      </w:r>
    </w:p>
    <w:p>
      <w:r>
        <w:t>Supporting documents in this project include graphical engineering diagrams as baseline content. Diagrams are not optional illustrations; they are part of the engineering description and must be updated when affected by a baseline change.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Principle</w:t>
            </w:r>
          </w:p>
        </w:tc>
        <w:tc>
          <w:tcPr>
            <w:tcW w:type="dxa" w:w="5040"/>
            <w:vAlign w:val="top"/>
            <w:shd w:fill="D9EAF7"/>
          </w:tcPr>
          <w:p>
            <w:r/>
            <w:r>
              <w:rPr>
                <w:b/>
                <w:sz w:val="18"/>
              </w:rPr>
              <w:t>Design Application</w:t>
            </w:r>
          </w:p>
        </w:tc>
      </w:tr>
      <w:tr>
        <w:tc>
          <w:tcPr>
            <w:tcW w:type="dxa" w:w="5040"/>
            <w:vAlign w:val="top"/>
          </w:tcPr>
          <w:p>
            <w:r/>
            <w:r>
              <w:rPr>
                <w:b w:val="0"/>
                <w:sz w:val="18"/>
              </w:rPr>
              <w:t>Separation of concerns</w:t>
            </w:r>
          </w:p>
        </w:tc>
        <w:tc>
          <w:tcPr>
            <w:tcW w:type="dxa" w:w="5040"/>
            <w:vAlign w:val="top"/>
          </w:tcPr>
          <w:p>
            <w:r/>
            <w:r>
              <w:rPr>
                <w:b w:val="0"/>
                <w:sz w:val="18"/>
              </w:rPr>
              <w:t>Object extraction, relationship extraction, models, utilities, CSV writing, CLI orchestration, and verification are assigned to separate modules.</w:t>
            </w:r>
          </w:p>
        </w:tc>
      </w:tr>
      <w:tr>
        <w:tc>
          <w:tcPr>
            <w:tcW w:type="dxa" w:w="5040"/>
            <w:vAlign w:val="top"/>
          </w:tcPr>
          <w:p>
            <w:r/>
            <w:r>
              <w:rPr>
                <w:b w:val="0"/>
                <w:sz w:val="18"/>
              </w:rPr>
              <w:t>Backward compatibility</w:t>
            </w:r>
          </w:p>
        </w:tc>
        <w:tc>
          <w:tcPr>
            <w:tcW w:type="dxa" w:w="5040"/>
            <w:vAlign w:val="top"/>
          </w:tcPr>
          <w:p>
            <w:r/>
            <w:r>
              <w:rPr>
                <w:b w:val="0"/>
                <w:sz w:val="18"/>
              </w:rPr>
              <w:t>The Phase 1 objects.csv schema is preserved. Relationship capability is added through relationships.csv.</w:t>
            </w:r>
          </w:p>
        </w:tc>
      </w:tr>
      <w:tr>
        <w:tc>
          <w:tcPr>
            <w:tcW w:type="dxa" w:w="5040"/>
            <w:vAlign w:val="top"/>
          </w:tcPr>
          <w:p>
            <w:r/>
            <w:r>
              <w:rPr>
                <w:b w:val="0"/>
                <w:sz w:val="18"/>
              </w:rPr>
              <w:t>Native extraction first</w:t>
            </w:r>
          </w:p>
        </w:tc>
        <w:tc>
          <w:tcPr>
            <w:tcW w:type="dxa" w:w="5040"/>
            <w:vAlign w:val="top"/>
          </w:tcPr>
          <w:p>
            <w:r/>
            <w:r>
              <w:rPr>
                <w:b w:val="0"/>
                <w:sz w:val="18"/>
              </w:rPr>
              <w:t>The utility uses PowerPoint native objects exposed through python-pptx before considering image processing.</w:t>
            </w:r>
          </w:p>
        </w:tc>
      </w:tr>
      <w:tr>
        <w:tc>
          <w:tcPr>
            <w:tcW w:type="dxa" w:w="5040"/>
            <w:vAlign w:val="top"/>
          </w:tcPr>
          <w:p>
            <w:r/>
            <w:r>
              <w:rPr>
                <w:b w:val="0"/>
                <w:sz w:val="18"/>
              </w:rPr>
              <w:t>Downstream ingest readiness</w:t>
            </w:r>
          </w:p>
        </w:tc>
        <w:tc>
          <w:tcPr>
            <w:tcW w:type="dxa" w:w="5040"/>
            <w:vAlign w:val="top"/>
          </w:tcPr>
          <w:p>
            <w:r/>
            <w:r>
              <w:rPr>
                <w:b w:val="0"/>
                <w:sz w:val="18"/>
              </w:rPr>
              <w:t>Outputs remain flat, relational-friendly CSV files suitable for database or MBSE-tool ingestion.</w:t>
            </w:r>
          </w:p>
        </w:tc>
      </w:tr>
      <w:tr>
        <w:tc>
          <w:tcPr>
            <w:tcW w:type="dxa" w:w="5040"/>
            <w:vAlign w:val="top"/>
          </w:tcPr>
          <w:p>
            <w:r/>
            <w:r>
              <w:rPr>
                <w:b w:val="0"/>
                <w:sz w:val="18"/>
              </w:rPr>
              <w:t>Verification as grading</w:t>
            </w:r>
          </w:p>
        </w:tc>
        <w:tc>
          <w:tcPr>
            <w:tcW w:type="dxa" w:w="5040"/>
            <w:vAlign w:val="top"/>
          </w:tcPr>
          <w:p>
            <w:r/>
            <w:r>
              <w:rPr>
                <w:b w:val="0"/>
                <w:sz w:val="18"/>
              </w:rPr>
              <w:t>Expected outputs are manually authored ground truth; the harness grades extractor performance against the expected contract.</w:t>
            </w:r>
          </w:p>
        </w:tc>
      </w:tr>
    </w:tbl>
    <w:p/>
    <w:p>
      <w:pPr>
        <w:pStyle w:val="Heading1"/>
      </w:pPr>
      <w:r>
        <w:t>2. System Overview</w:t>
      </w:r>
    </w:p>
    <w:p>
      <w:r>
        <w:t>The end user runs main.py from a command line. main.py orchestrates object extraction, relationship extraction, and CSV serialization. Domain modules own their own responsibilities and shared dataclasses live in models.py. Figure 2-1 shows the modular system context.</w:t>
      </w:r>
    </w:p>
    <w:p>
      <w:pPr>
        <w:jc w:val="center"/>
      </w:pPr>
      <w:r>
        <w:drawing>
          <wp:inline xmlns:a="http://schemas.openxmlformats.org/drawingml/2006/main" xmlns:pic="http://schemas.openxmlformats.org/drawingml/2006/picture">
            <wp:extent cx="6035040" cy="3583305"/>
            <wp:docPr id="1" name="Picture 1"/>
            <wp:cNvGraphicFramePr>
              <a:graphicFrameLocks noChangeAspect="1"/>
            </wp:cNvGraphicFramePr>
            <a:graphic>
              <a:graphicData uri="http://schemas.openxmlformats.org/drawingml/2006/picture">
                <pic:pic>
                  <pic:nvPicPr>
                    <pic:cNvPr id="0" name="fig_2_1_package.png"/>
                    <pic:cNvPicPr/>
                  </pic:nvPicPr>
                  <pic:blipFill>
                    <a:blip r:embed="rId9"/>
                    <a:stretch>
                      <a:fillRect/>
                    </a:stretch>
                  </pic:blipFill>
                  <pic:spPr>
                    <a:xfrm>
                      <a:off x="0" y="0"/>
                      <a:ext cx="6035040" cy="3583305"/>
                    </a:xfrm>
                    <a:prstGeom prst="rect"/>
                  </pic:spPr>
                </pic:pic>
              </a:graphicData>
            </a:graphic>
          </wp:inline>
        </w:drawing>
      </w:r>
    </w:p>
    <w:p>
      <w:pPr>
        <w:pStyle w:val="Caption"/>
        <w:jc w:val="center"/>
      </w:pPr>
      <w:r>
        <w:t>Figure 2-1. Package Diagram - Modular System Context</w:t>
      </w:r>
    </w:p>
    <w:p>
      <w:pPr>
        <w:pStyle w:val="Heading1"/>
      </w:pPr>
      <w:r>
        <w:t>3. Software Architecture</w:t>
      </w:r>
    </w:p>
    <w:p>
      <w:r>
        <w:t>Baseline v0.5 retains the modular architecture introduced in v0.3. Relationship detection remains a first-class module instead of being embedded inside object extraction. The test harness remains separate from runtime extraction and is used to evaluate capability against expected results.</w:t>
      </w:r>
    </w:p>
    <w:p>
      <w:pPr>
        <w:jc w:val="center"/>
      </w:pPr>
      <w:r>
        <w:drawing>
          <wp:inline xmlns:a="http://schemas.openxmlformats.org/drawingml/2006/main" xmlns:pic="http://schemas.openxmlformats.org/drawingml/2006/picture">
            <wp:extent cx="6035040" cy="3583305"/>
            <wp:docPr id="2" name="Picture 2"/>
            <wp:cNvGraphicFramePr>
              <a:graphicFrameLocks noChangeAspect="1"/>
            </wp:cNvGraphicFramePr>
            <a:graphic>
              <a:graphicData uri="http://schemas.openxmlformats.org/drawingml/2006/picture">
                <pic:pic>
                  <pic:nvPicPr>
                    <pic:cNvPr id="0" name="fig_3_1_bdd.png"/>
                    <pic:cNvPicPr/>
                  </pic:nvPicPr>
                  <pic:blipFill>
                    <a:blip r:embed="rId10"/>
                    <a:stretch>
                      <a:fillRect/>
                    </a:stretch>
                  </pic:blipFill>
                  <pic:spPr>
                    <a:xfrm>
                      <a:off x="0" y="0"/>
                      <a:ext cx="6035040" cy="3583305"/>
                    </a:xfrm>
                    <a:prstGeom prst="rect"/>
                  </pic:spPr>
                </pic:pic>
              </a:graphicData>
            </a:graphic>
          </wp:inline>
        </w:drawing>
      </w:r>
    </w:p>
    <w:p>
      <w:pPr>
        <w:pStyle w:val="Caption"/>
        <w:jc w:val="center"/>
      </w:pPr>
      <w:r>
        <w:t>Figure 3-1. Block Definition Diagram - Module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Module</w:t>
            </w:r>
          </w:p>
        </w:tc>
        <w:tc>
          <w:tcPr>
            <w:tcW w:type="dxa" w:w="3360"/>
            <w:vAlign w:val="top"/>
            <w:shd w:fill="D9EAF7"/>
          </w:tcPr>
          <w:p>
            <w:r/>
            <w:r>
              <w:rPr>
                <w:b/>
                <w:sz w:val="18"/>
              </w:rPr>
              <w:t>Responsibility</w:t>
            </w:r>
          </w:p>
        </w:tc>
        <w:tc>
          <w:tcPr>
            <w:tcW w:type="dxa" w:w="3360"/>
            <w:vAlign w:val="top"/>
            <w:shd w:fill="D9EAF7"/>
          </w:tcPr>
          <w:p>
            <w:r/>
            <w:r>
              <w:rPr>
                <w:b/>
                <w:sz w:val="18"/>
              </w:rPr>
              <w:t>Primary Outputs</w:t>
            </w:r>
          </w:p>
        </w:tc>
      </w:tr>
      <w:tr>
        <w:tc>
          <w:tcPr>
            <w:tcW w:type="dxa" w:w="3360"/>
            <w:vAlign w:val="top"/>
          </w:tcPr>
          <w:p>
            <w:r/>
            <w:r>
              <w:rPr>
                <w:b w:val="0"/>
                <w:sz w:val="18"/>
              </w:rPr>
              <w:t>main.py</w:t>
            </w:r>
          </w:p>
        </w:tc>
        <w:tc>
          <w:tcPr>
            <w:tcW w:type="dxa" w:w="3360"/>
            <w:vAlign w:val="top"/>
          </w:tcPr>
          <w:p>
            <w:r/>
            <w:r>
              <w:rPr>
                <w:b w:val="0"/>
                <w:sz w:val="18"/>
              </w:rPr>
              <w:t>End-user CLI orchestration</w:t>
            </w:r>
          </w:p>
        </w:tc>
        <w:tc>
          <w:tcPr>
            <w:tcW w:type="dxa" w:w="3360"/>
            <w:vAlign w:val="top"/>
          </w:tcPr>
          <w:p>
            <w:r/>
            <w:r>
              <w:rPr>
                <w:b w:val="0"/>
                <w:sz w:val="18"/>
              </w:rPr>
              <w:t>Console summary and CSV file paths</w:t>
            </w:r>
          </w:p>
        </w:tc>
      </w:tr>
      <w:tr>
        <w:tc>
          <w:tcPr>
            <w:tcW w:type="dxa" w:w="3360"/>
            <w:vAlign w:val="top"/>
          </w:tcPr>
          <w:p>
            <w:r/>
            <w:r>
              <w:rPr>
                <w:b w:val="0"/>
                <w:sz w:val="18"/>
              </w:rPr>
              <w:t>extract_pptx_objects.py</w:t>
            </w:r>
          </w:p>
        </w:tc>
        <w:tc>
          <w:tcPr>
            <w:tcW w:type="dxa" w:w="3360"/>
            <w:vAlign w:val="top"/>
          </w:tcPr>
          <w:p>
            <w:r/>
            <w:r>
              <w:rPr>
                <w:b w:val="0"/>
                <w:sz w:val="18"/>
              </w:rPr>
              <w:t>Native PowerPoint object extraction only</w:t>
            </w:r>
          </w:p>
        </w:tc>
        <w:tc>
          <w:tcPr>
            <w:tcW w:type="dxa" w:w="3360"/>
            <w:vAlign w:val="top"/>
          </w:tcPr>
          <w:p>
            <w:r/>
            <w:r>
              <w:rPr>
                <w:b w:val="0"/>
                <w:sz w:val="18"/>
              </w:rPr>
              <w:t>List[SlideObject]</w:t>
            </w:r>
          </w:p>
        </w:tc>
      </w:tr>
      <w:tr>
        <w:tc>
          <w:tcPr>
            <w:tcW w:type="dxa" w:w="3360"/>
            <w:vAlign w:val="top"/>
          </w:tcPr>
          <w:p>
            <w:r/>
            <w:r>
              <w:rPr>
                <w:b w:val="0"/>
                <w:sz w:val="18"/>
              </w:rPr>
              <w:t>extract_pptx_relationships.py</w:t>
            </w:r>
          </w:p>
        </w:tc>
        <w:tc>
          <w:tcPr>
            <w:tcW w:type="dxa" w:w="3360"/>
            <w:vAlign w:val="top"/>
          </w:tcPr>
          <w:p>
            <w:r/>
            <w:r>
              <w:rPr>
                <w:b w:val="0"/>
                <w:sz w:val="18"/>
              </w:rPr>
              <w:t>Connector relationship extraction only</w:t>
            </w:r>
          </w:p>
        </w:tc>
        <w:tc>
          <w:tcPr>
            <w:tcW w:type="dxa" w:w="3360"/>
            <w:vAlign w:val="top"/>
          </w:tcPr>
          <w:p>
            <w:r/>
            <w:r>
              <w:rPr>
                <w:b w:val="0"/>
                <w:sz w:val="18"/>
              </w:rPr>
              <w:t>List[Relationship]</w:t>
            </w:r>
          </w:p>
        </w:tc>
      </w:tr>
      <w:tr>
        <w:tc>
          <w:tcPr>
            <w:tcW w:type="dxa" w:w="3360"/>
            <w:vAlign w:val="top"/>
          </w:tcPr>
          <w:p>
            <w:r/>
            <w:r>
              <w:rPr>
                <w:b w:val="0"/>
                <w:sz w:val="18"/>
              </w:rPr>
              <w:t>models.py</w:t>
            </w:r>
          </w:p>
        </w:tc>
        <w:tc>
          <w:tcPr>
            <w:tcW w:type="dxa" w:w="3360"/>
            <w:vAlign w:val="top"/>
          </w:tcPr>
          <w:p>
            <w:r/>
            <w:r>
              <w:rPr>
                <w:b w:val="0"/>
                <w:sz w:val="18"/>
              </w:rPr>
              <w:t>Shared dataclasses and schemas</w:t>
            </w:r>
          </w:p>
        </w:tc>
        <w:tc>
          <w:tcPr>
            <w:tcW w:type="dxa" w:w="3360"/>
            <w:vAlign w:val="top"/>
          </w:tcPr>
          <w:p>
            <w:r/>
            <w:r>
              <w:rPr>
                <w:b w:val="0"/>
                <w:sz w:val="18"/>
              </w:rPr>
              <w:t>SlideObject, Relationship</w:t>
            </w:r>
          </w:p>
        </w:tc>
      </w:tr>
      <w:tr>
        <w:tc>
          <w:tcPr>
            <w:tcW w:type="dxa" w:w="3360"/>
            <w:vAlign w:val="top"/>
          </w:tcPr>
          <w:p>
            <w:r/>
            <w:r>
              <w:rPr>
                <w:b w:val="0"/>
                <w:sz w:val="18"/>
              </w:rPr>
              <w:t>utils.py</w:t>
            </w:r>
          </w:p>
        </w:tc>
        <w:tc>
          <w:tcPr>
            <w:tcW w:type="dxa" w:w="3360"/>
            <w:vAlign w:val="top"/>
          </w:tcPr>
          <w:p>
            <w:r/>
            <w:r>
              <w:rPr>
                <w:b w:val="0"/>
                <w:sz w:val="18"/>
              </w:rPr>
              <w:t>Shared helper functions</w:t>
            </w:r>
          </w:p>
        </w:tc>
        <w:tc>
          <w:tcPr>
            <w:tcW w:type="dxa" w:w="3360"/>
            <w:vAlign w:val="top"/>
          </w:tcPr>
          <w:p>
            <w:r/>
            <w:r>
              <w:rPr>
                <w:b w:val="0"/>
                <w:sz w:val="18"/>
              </w:rPr>
              <w:t>Normalized text, types, and measurements</w:t>
            </w:r>
          </w:p>
        </w:tc>
      </w:tr>
      <w:tr>
        <w:tc>
          <w:tcPr>
            <w:tcW w:type="dxa" w:w="3360"/>
            <w:vAlign w:val="top"/>
          </w:tcPr>
          <w:p>
            <w:r/>
            <w:r>
              <w:rPr>
                <w:b w:val="0"/>
                <w:sz w:val="18"/>
              </w:rPr>
              <w:t>csv_writer.py</w:t>
            </w:r>
          </w:p>
        </w:tc>
        <w:tc>
          <w:tcPr>
            <w:tcW w:type="dxa" w:w="3360"/>
            <w:vAlign w:val="top"/>
          </w:tcPr>
          <w:p>
            <w:r/>
            <w:r>
              <w:rPr>
                <w:b w:val="0"/>
                <w:sz w:val="18"/>
              </w:rPr>
              <w:t>CSV serialization</w:t>
            </w:r>
          </w:p>
        </w:tc>
        <w:tc>
          <w:tcPr>
            <w:tcW w:type="dxa" w:w="3360"/>
            <w:vAlign w:val="top"/>
          </w:tcPr>
          <w:p>
            <w:r/>
            <w:r>
              <w:rPr>
                <w:b w:val="0"/>
                <w:sz w:val="18"/>
              </w:rPr>
              <w:t>objects.csv, relationships.csv</w:t>
            </w:r>
          </w:p>
        </w:tc>
      </w:tr>
      <w:tr>
        <w:tc>
          <w:tcPr>
            <w:tcW w:type="dxa" w:w="3360"/>
            <w:vAlign w:val="top"/>
          </w:tcPr>
          <w:p>
            <w:r/>
            <w:r>
              <w:rPr>
                <w:b w:val="0"/>
                <w:sz w:val="18"/>
              </w:rPr>
              <w:t>run_test_suite.py</w:t>
            </w:r>
          </w:p>
        </w:tc>
        <w:tc>
          <w:tcPr>
            <w:tcW w:type="dxa" w:w="3360"/>
            <w:vAlign w:val="top"/>
          </w:tcPr>
          <w:p>
            <w:r/>
            <w:r>
              <w:rPr>
                <w:b w:val="0"/>
                <w:sz w:val="18"/>
              </w:rPr>
              <w:t>Manifest-driven verification</w:t>
            </w:r>
          </w:p>
        </w:tc>
        <w:tc>
          <w:tcPr>
            <w:tcW w:type="dxa" w:w="3360"/>
            <w:vAlign w:val="top"/>
          </w:tcPr>
          <w:p>
            <w:r/>
            <w:r>
              <w:rPr>
                <w:b w:val="0"/>
                <w:sz w:val="18"/>
              </w:rPr>
              <w:t>test_report.csv and test_report.docx</w:t>
            </w:r>
          </w:p>
        </w:tc>
      </w:tr>
    </w:tbl>
    <w:p/>
    <w:p>
      <w:pPr>
        <w:pStyle w:val="Heading1"/>
      </w:pPr>
      <w:r>
        <w:t>4. Internal Design</w:t>
      </w:r>
    </w:p>
    <w:p>
      <w:r>
        <w:t>The internal design uses the object inventory as the authoritative intermediate representation. Relationship extraction consumes SlideObject records and generates Relationship records without modifying the object extraction domain. Figure 4-1 shows the internal data flow.</w:t>
      </w:r>
    </w:p>
    <w:p>
      <w:pPr>
        <w:jc w:val="center"/>
      </w:pPr>
      <w:r>
        <w:drawing>
          <wp:inline xmlns:a="http://schemas.openxmlformats.org/drawingml/2006/main" xmlns:pic="http://schemas.openxmlformats.org/drawingml/2006/picture">
            <wp:extent cx="6035040" cy="3583305"/>
            <wp:docPr id="3" name="Picture 3"/>
            <wp:cNvGraphicFramePr>
              <a:graphicFrameLocks noChangeAspect="1"/>
            </wp:cNvGraphicFramePr>
            <a:graphic>
              <a:graphicData uri="http://schemas.openxmlformats.org/drawingml/2006/picture">
                <pic:pic>
                  <pic:nvPicPr>
                    <pic:cNvPr id="0" name="fig_4_1_ibd.png"/>
                    <pic:cNvPicPr/>
                  </pic:nvPicPr>
                  <pic:blipFill>
                    <a:blip r:embed="rId11"/>
                    <a:stretch>
                      <a:fillRect/>
                    </a:stretch>
                  </pic:blipFill>
                  <pic:spPr>
                    <a:xfrm>
                      <a:off x="0" y="0"/>
                      <a:ext cx="6035040" cy="3583305"/>
                    </a:xfrm>
                    <a:prstGeom prst="rect"/>
                  </pic:spPr>
                </pic:pic>
              </a:graphicData>
            </a:graphic>
          </wp:inline>
        </w:drawing>
      </w:r>
    </w:p>
    <w:p>
      <w:pPr>
        <w:pStyle w:val="Caption"/>
        <w:jc w:val="center"/>
      </w:pPr>
      <w:r>
        <w:t>Figure 4-1. Internal Block Diagram - Data Flow</w:t>
      </w:r>
    </w:p>
    <w:p>
      <w:pPr>
        <w:pStyle w:val="Heading1"/>
      </w:pPr>
      <w:r>
        <w:t>5. Data Design</w:t>
      </w:r>
    </w:p>
    <w:p>
      <w:r>
        <w:t>The central data structures are SlideObject and Relationship. SlideObject remains the Phase 1-compatible object inventory record. Relationship captures connector-derived relationships between detected objects. Figure 5-1 shows how the records map to CSV outputs.</w:t>
      </w:r>
    </w:p>
    <w:p>
      <w:pPr>
        <w:jc w:val="center"/>
      </w:pPr>
      <w:r>
        <w:drawing>
          <wp:inline xmlns:a="http://schemas.openxmlformats.org/drawingml/2006/main" xmlns:pic="http://schemas.openxmlformats.org/drawingml/2006/picture">
            <wp:extent cx="6035040" cy="3583305"/>
            <wp:docPr id="4" name="Picture 4"/>
            <wp:cNvGraphicFramePr>
              <a:graphicFrameLocks noChangeAspect="1"/>
            </wp:cNvGraphicFramePr>
            <a:graphic>
              <a:graphicData uri="http://schemas.openxmlformats.org/drawingml/2006/picture">
                <pic:pic>
                  <pic:nvPicPr>
                    <pic:cNvPr id="0" name="fig_5_1_data.png"/>
                    <pic:cNvPicPr/>
                  </pic:nvPicPr>
                  <pic:blipFill>
                    <a:blip r:embed="rId12"/>
                    <a:stretch>
                      <a:fillRect/>
                    </a:stretch>
                  </pic:blipFill>
                  <pic:spPr>
                    <a:xfrm>
                      <a:off x="0" y="0"/>
                      <a:ext cx="6035040" cy="3583305"/>
                    </a:xfrm>
                    <a:prstGeom prst="rect"/>
                  </pic:spPr>
                </pic:pic>
              </a:graphicData>
            </a:graphic>
          </wp:inline>
        </w:drawing>
      </w:r>
    </w:p>
    <w:p>
      <w:pPr>
        <w:pStyle w:val="Caption"/>
        <w:jc w:val="center"/>
      </w:pPr>
      <w:r>
        <w:t>Figure 5-1. Data Model - SlideObject, Relationship, and CSV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Record</w:t>
            </w:r>
          </w:p>
        </w:tc>
        <w:tc>
          <w:tcPr>
            <w:tcW w:type="dxa" w:w="3360"/>
            <w:vAlign w:val="top"/>
            <w:shd w:fill="D9EAF7"/>
          </w:tcPr>
          <w:p>
            <w:r/>
            <w:r>
              <w:rPr>
                <w:b/>
                <w:sz w:val="18"/>
              </w:rPr>
              <w:t>Description</w:t>
            </w:r>
          </w:p>
        </w:tc>
        <w:tc>
          <w:tcPr>
            <w:tcW w:type="dxa" w:w="3360"/>
            <w:vAlign w:val="top"/>
            <w:shd w:fill="D9EAF7"/>
          </w:tcPr>
          <w:p>
            <w:r/>
            <w:r>
              <w:rPr>
                <w:b/>
                <w:sz w:val="18"/>
              </w:rPr>
              <w:t>CSV Output</w:t>
            </w:r>
          </w:p>
        </w:tc>
      </w:tr>
      <w:tr>
        <w:tc>
          <w:tcPr>
            <w:tcW w:type="dxa" w:w="3360"/>
            <w:vAlign w:val="top"/>
          </w:tcPr>
          <w:p>
            <w:r/>
            <w:r>
              <w:rPr>
                <w:b w:val="0"/>
                <w:sz w:val="18"/>
              </w:rPr>
              <w:t>SlideObject</w:t>
            </w:r>
          </w:p>
        </w:tc>
        <w:tc>
          <w:tcPr>
            <w:tcW w:type="dxa" w:w="3360"/>
            <w:vAlign w:val="top"/>
          </w:tcPr>
          <w:p>
            <w:r/>
            <w:r>
              <w:rPr>
                <w:b w:val="0"/>
                <w:sz w:val="18"/>
              </w:rPr>
              <w:t>One detected native PowerPoint object. Includes stable ID, slide, group containment, shape type, text, geometry, and rotation.</w:t>
            </w:r>
          </w:p>
        </w:tc>
        <w:tc>
          <w:tcPr>
            <w:tcW w:type="dxa" w:w="3360"/>
            <w:vAlign w:val="top"/>
          </w:tcPr>
          <w:p>
            <w:r/>
            <w:r>
              <w:rPr>
                <w:b w:val="0"/>
                <w:sz w:val="18"/>
              </w:rPr>
              <w:t>&lt;input_file_stem&gt;_objects.csv</w:t>
            </w:r>
          </w:p>
        </w:tc>
      </w:tr>
      <w:tr>
        <w:tc>
          <w:tcPr>
            <w:tcW w:type="dxa" w:w="3360"/>
            <w:vAlign w:val="top"/>
          </w:tcPr>
          <w:p>
            <w:r/>
            <w:r>
              <w:rPr>
                <w:b w:val="0"/>
                <w:sz w:val="18"/>
              </w:rPr>
              <w:t>Relationship</w:t>
            </w:r>
          </w:p>
        </w:tc>
        <w:tc>
          <w:tcPr>
            <w:tcW w:type="dxa" w:w="3360"/>
            <w:vAlign w:val="top"/>
          </w:tcPr>
          <w:p>
            <w:r/>
            <w:r>
              <w:rPr>
                <w:b w:val="0"/>
                <w:sz w:val="18"/>
              </w:rPr>
              <w:t>One connector-derived relationship between two detected objects. Includes connector reference, source, target, relationship type, confidence, label text, and notes.</w:t>
            </w:r>
          </w:p>
        </w:tc>
        <w:tc>
          <w:tcPr>
            <w:tcW w:type="dxa" w:w="3360"/>
            <w:vAlign w:val="top"/>
          </w:tcPr>
          <w:p>
            <w:r/>
            <w:r>
              <w:rPr>
                <w:b w:val="0"/>
                <w:sz w:val="18"/>
              </w:rPr>
              <w:t>&lt;input_file_stem&gt;_relationships.csv</w:t>
            </w:r>
          </w:p>
        </w:tc>
      </w:tr>
    </w:tbl>
    <w:p/>
    <w:p>
      <w:pPr>
        <w:pStyle w:val="Heading1"/>
      </w:pPr>
      <w:r>
        <w:t>6. Behavioral Design</w:t>
      </w:r>
    </w:p>
    <w:p>
      <w:r>
        <w:t>The utility follows a deterministic processing flow from user command to two CSV outputs. The object extraction output is always produced. The relationship CSV is also produced, even when no relationships are detected, so downstream ingestion receives a stable schema. Figure 6-1 illustrates the activity flow.</w:t>
      </w:r>
    </w:p>
    <w:p>
      <w:pPr>
        <w:jc w:val="center"/>
      </w:pPr>
      <w:r>
        <w:drawing>
          <wp:inline xmlns:a="http://schemas.openxmlformats.org/drawingml/2006/main" xmlns:pic="http://schemas.openxmlformats.org/drawingml/2006/picture">
            <wp:extent cx="6035040" cy="3583305"/>
            <wp:docPr id="5" name="Picture 5"/>
            <wp:cNvGraphicFramePr>
              <a:graphicFrameLocks noChangeAspect="1"/>
            </wp:cNvGraphicFramePr>
            <a:graphic>
              <a:graphicData uri="http://schemas.openxmlformats.org/drawingml/2006/picture">
                <pic:pic>
                  <pic:nvPicPr>
                    <pic:cNvPr id="0" name="fig_6_1_activity.png"/>
                    <pic:cNvPicPr/>
                  </pic:nvPicPr>
                  <pic:blipFill>
                    <a:blip r:embed="rId13"/>
                    <a:stretch>
                      <a:fillRect/>
                    </a:stretch>
                  </pic:blipFill>
                  <pic:spPr>
                    <a:xfrm>
                      <a:off x="0" y="0"/>
                      <a:ext cx="6035040" cy="3583305"/>
                    </a:xfrm>
                    <a:prstGeom prst="rect"/>
                  </pic:spPr>
                </pic:pic>
              </a:graphicData>
            </a:graphic>
          </wp:inline>
        </w:drawing>
      </w:r>
    </w:p>
    <w:p>
      <w:pPr>
        <w:pStyle w:val="Caption"/>
        <w:jc w:val="center"/>
      </w:pPr>
      <w:r>
        <w:t>Figure 6-1. Activity Diagram - Main Processing Flow</w:t>
      </w:r>
    </w:p>
    <w:p>
      <w:pPr>
        <w:pStyle w:val="Heading1"/>
      </w:pPr>
      <w:r>
        <w:t>7. Dynamic Behavior</w:t>
      </w:r>
    </w:p>
    <w:p>
      <w:r>
        <w:t>At runtime, main.py coordinates the domain modules. Object extraction occurs before relationship extraction so that relationships can reference stable object IDs. Figure 7-1 shows runtime interaction. Figure 7-2 shows allowed dependency direction.</w:t>
      </w:r>
    </w:p>
    <w:p>
      <w:pPr>
        <w:jc w:val="center"/>
      </w:pPr>
      <w:r>
        <w:drawing>
          <wp:inline xmlns:a="http://schemas.openxmlformats.org/drawingml/2006/main" xmlns:pic="http://schemas.openxmlformats.org/drawingml/2006/picture">
            <wp:extent cx="6035040" cy="3583305"/>
            <wp:docPr id="6" name="Picture 6"/>
            <wp:cNvGraphicFramePr>
              <a:graphicFrameLocks noChangeAspect="1"/>
            </wp:cNvGraphicFramePr>
            <a:graphic>
              <a:graphicData uri="http://schemas.openxmlformats.org/drawingml/2006/picture">
                <pic:pic>
                  <pic:nvPicPr>
                    <pic:cNvPr id="0" name="fig_7_1_sequence.png"/>
                    <pic:cNvPicPr/>
                  </pic:nvPicPr>
                  <pic:blipFill>
                    <a:blip r:embed="rId14"/>
                    <a:stretch>
                      <a:fillRect/>
                    </a:stretch>
                  </pic:blipFill>
                  <pic:spPr>
                    <a:xfrm>
                      <a:off x="0" y="0"/>
                      <a:ext cx="6035040" cy="3583305"/>
                    </a:xfrm>
                    <a:prstGeom prst="rect"/>
                  </pic:spPr>
                </pic:pic>
              </a:graphicData>
            </a:graphic>
          </wp:inline>
        </w:drawing>
      </w:r>
    </w:p>
    <w:p>
      <w:pPr>
        <w:pStyle w:val="Caption"/>
        <w:jc w:val="center"/>
      </w:pPr>
      <w:r>
        <w:t>Figure 7-1. Sequence Diagram - Runtime Interaction</w:t>
      </w:r>
    </w:p>
    <w:p>
      <w:pPr>
        <w:jc w:val="center"/>
      </w:pPr>
      <w:r>
        <w:drawing>
          <wp:inline xmlns:a="http://schemas.openxmlformats.org/drawingml/2006/main" xmlns:pic="http://schemas.openxmlformats.org/drawingml/2006/picture">
            <wp:extent cx="6035040" cy="3583305"/>
            <wp:docPr id="7" name="Picture 7"/>
            <wp:cNvGraphicFramePr>
              <a:graphicFrameLocks noChangeAspect="1"/>
            </wp:cNvGraphicFramePr>
            <a:graphic>
              <a:graphicData uri="http://schemas.openxmlformats.org/drawingml/2006/picture">
                <pic:pic>
                  <pic:nvPicPr>
                    <pic:cNvPr id="0" name="fig_7_2_dependency.png"/>
                    <pic:cNvPicPr/>
                  </pic:nvPicPr>
                  <pic:blipFill>
                    <a:blip r:embed="rId15"/>
                    <a:stretch>
                      <a:fillRect/>
                    </a:stretch>
                  </pic:blipFill>
                  <pic:spPr>
                    <a:xfrm>
                      <a:off x="0" y="0"/>
                      <a:ext cx="6035040" cy="3583305"/>
                    </a:xfrm>
                    <a:prstGeom prst="rect"/>
                  </pic:spPr>
                </pic:pic>
              </a:graphicData>
            </a:graphic>
          </wp:inline>
        </w:drawing>
      </w:r>
    </w:p>
    <w:p>
      <w:pPr>
        <w:pStyle w:val="Caption"/>
        <w:jc w:val="center"/>
      </w:pPr>
      <w:r>
        <w:t>Figure 7-2. Dependency Diagram - Module Coupling</w:t>
      </w:r>
    </w:p>
    <w:p>
      <w:pPr>
        <w:pStyle w:val="Heading1"/>
      </w:pPr>
      <w:r>
        <w:t>8. Verification Design</w:t>
      </w:r>
    </w:p>
    <w:p>
      <w:r>
        <w:t>Baseline v0.5 adds control-logic test cases that represent sensor inputs, actions, AND/OR logic gates, and outputs. Expected results are manually authored and treated as ground truth. The harness compares actual extractor output against expected objects and relationships and produces machine-readable and Word reports.</w:t>
      </w:r>
    </w:p>
    <w:p>
      <w:pPr>
        <w:jc w:val="center"/>
      </w:pPr>
      <w:r>
        <w:drawing>
          <wp:inline xmlns:a="http://schemas.openxmlformats.org/drawingml/2006/main" xmlns:pic="http://schemas.openxmlformats.org/drawingml/2006/picture">
            <wp:extent cx="6035040" cy="3583305"/>
            <wp:docPr id="8" name="Picture 8"/>
            <wp:cNvGraphicFramePr>
              <a:graphicFrameLocks noChangeAspect="1"/>
            </wp:cNvGraphicFramePr>
            <a:graphic>
              <a:graphicData uri="http://schemas.openxmlformats.org/drawingml/2006/picture">
                <pic:pic>
                  <pic:nvPicPr>
                    <pic:cNvPr id="0" name="fig_8_1_verification.png"/>
                    <pic:cNvPicPr/>
                  </pic:nvPicPr>
                  <pic:blipFill>
                    <a:blip r:embed="rId16"/>
                    <a:stretch>
                      <a:fillRect/>
                    </a:stretch>
                  </pic:blipFill>
                  <pic:spPr>
                    <a:xfrm>
                      <a:off x="0" y="0"/>
                      <a:ext cx="6035040" cy="3583305"/>
                    </a:xfrm>
                    <a:prstGeom prst="rect"/>
                  </pic:spPr>
                </pic:pic>
              </a:graphicData>
            </a:graphic>
          </wp:inline>
        </w:drawing>
      </w:r>
    </w:p>
    <w:p>
      <w:pPr>
        <w:pStyle w:val="Caption"/>
        <w:jc w:val="center"/>
      </w:pPr>
      <w:r>
        <w:t>Figure 8-1. Verification Architecture - Manifest-Driven Test Harness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Test Range</w:t>
            </w:r>
          </w:p>
        </w:tc>
        <w:tc>
          <w:tcPr>
            <w:tcW w:type="dxa" w:w="3360"/>
            <w:vAlign w:val="top"/>
            <w:shd w:fill="D9EAF7"/>
          </w:tcPr>
          <w:p>
            <w:r/>
            <w:r>
              <w:rPr>
                <w:b/>
                <w:sz w:val="18"/>
              </w:rPr>
              <w:t>Capability Focus</w:t>
            </w:r>
          </w:p>
        </w:tc>
        <w:tc>
          <w:tcPr>
            <w:tcW w:type="dxa" w:w="3360"/>
            <w:vAlign w:val="top"/>
            <w:shd w:fill="D9EAF7"/>
          </w:tcPr>
          <w:p>
            <w:r/>
            <w:r>
              <w:rPr>
                <w:b/>
                <w:sz w:val="18"/>
              </w:rPr>
              <w:t>Expected Relationship Scope</w:t>
            </w:r>
          </w:p>
        </w:tc>
      </w:tr>
      <w:tr>
        <w:tc>
          <w:tcPr>
            <w:tcW w:type="dxa" w:w="3360"/>
            <w:vAlign w:val="top"/>
          </w:tcPr>
          <w:p>
            <w:r/>
            <w:r>
              <w:rPr>
                <w:b w:val="0"/>
                <w:sz w:val="18"/>
              </w:rPr>
              <w:t>TC009-TC010</w:t>
            </w:r>
          </w:p>
        </w:tc>
        <w:tc>
          <w:tcPr>
            <w:tcW w:type="dxa" w:w="3360"/>
            <w:vAlign w:val="top"/>
          </w:tcPr>
          <w:p>
            <w:r/>
            <w:r>
              <w:rPr>
                <w:b w:val="0"/>
                <w:sz w:val="18"/>
              </w:rPr>
              <w:t>Existing hierarchy and workflow cases with relationship extraction</w:t>
            </w:r>
          </w:p>
        </w:tc>
        <w:tc>
          <w:tcPr>
            <w:tcW w:type="dxa" w:w="3360"/>
            <w:vAlign w:val="top"/>
          </w:tcPr>
          <w:p>
            <w:r/>
            <w:r>
              <w:rPr>
                <w:b w:val="0"/>
                <w:sz w:val="18"/>
              </w:rPr>
              <w:t>Connector-derived relationships already visible in the diagram.</w:t>
            </w:r>
          </w:p>
        </w:tc>
      </w:tr>
      <w:tr>
        <w:tc>
          <w:tcPr>
            <w:tcW w:type="dxa" w:w="3360"/>
            <w:vAlign w:val="top"/>
          </w:tcPr>
          <w:p>
            <w:r/>
            <w:r>
              <w:rPr>
                <w:b w:val="0"/>
                <w:sz w:val="18"/>
              </w:rPr>
              <w:t>TC012-TC017</w:t>
            </w:r>
          </w:p>
        </w:tc>
        <w:tc>
          <w:tcPr>
            <w:tcW w:type="dxa" w:w="3360"/>
            <w:vAlign w:val="top"/>
          </w:tcPr>
          <w:p>
            <w:r/>
            <w:r>
              <w:rPr>
                <w:b w:val="0"/>
                <w:sz w:val="18"/>
              </w:rPr>
              <w:t>Control logic coverage</w:t>
            </w:r>
          </w:p>
        </w:tc>
        <w:tc>
          <w:tcPr>
            <w:tcW w:type="dxa" w:w="3360"/>
            <w:vAlign w:val="top"/>
          </w:tcPr>
          <w:p>
            <w:r/>
            <w:r>
              <w:rPr>
                <w:b w:val="0"/>
                <w:sz w:val="18"/>
              </w:rPr>
              <w:t>Sensor input -&gt; action -&gt; logic gate -&gt; output connector chains.</w:t>
            </w:r>
          </w:p>
        </w:tc>
      </w:tr>
      <w:tr>
        <w:tc>
          <w:tcPr>
            <w:tcW w:type="dxa" w:w="3360"/>
            <w:vAlign w:val="top"/>
          </w:tcPr>
          <w:p>
            <w:r/>
            <w:r>
              <w:rPr>
                <w:b w:val="0"/>
                <w:sz w:val="18"/>
              </w:rPr>
              <w:t>Future TC018-TC020</w:t>
            </w:r>
          </w:p>
        </w:tc>
        <w:tc>
          <w:tcPr>
            <w:tcW w:type="dxa" w:w="3360"/>
            <w:vAlign w:val="top"/>
          </w:tcPr>
          <w:p>
            <w:r/>
            <w:r>
              <w:rPr>
                <w:b w:val="0"/>
                <w:sz w:val="18"/>
              </w:rPr>
              <w:t>Reserved expansion</w:t>
            </w:r>
          </w:p>
        </w:tc>
        <w:tc>
          <w:tcPr>
            <w:tcW w:type="dxa" w:w="3360"/>
            <w:vAlign w:val="top"/>
          </w:tcPr>
          <w:p>
            <w:r/>
            <w:r>
              <w:rPr>
                <w:b w:val="0"/>
                <w:sz w:val="18"/>
              </w:rPr>
              <w:t>Additional control-logic variants if needed.</w:t>
            </w:r>
          </w:p>
        </w:tc>
      </w:tr>
    </w:tbl>
    <w:p/>
    <w:p>
      <w:pPr>
        <w:pStyle w:val="Heading1"/>
      </w:pPr>
      <w:r>
        <w:t>9. Algorithm Specifications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Function / Module</w:t>
            </w:r>
          </w:p>
        </w:tc>
        <w:tc>
          <w:tcPr>
            <w:tcW w:type="dxa" w:w="5040"/>
            <w:vAlign w:val="top"/>
            <w:shd w:fill="D9EAF7"/>
          </w:tcPr>
          <w:p>
            <w:r/>
            <w:r>
              <w:rPr>
                <w:b/>
                <w:sz w:val="18"/>
              </w:rPr>
              <w:t>Algorithm Summary</w:t>
            </w:r>
          </w:p>
        </w:tc>
      </w:tr>
      <w:tr>
        <w:tc>
          <w:tcPr>
            <w:tcW w:type="dxa" w:w="5040"/>
            <w:vAlign w:val="top"/>
          </w:tcPr>
          <w:p>
            <w:r/>
            <w:r>
              <w:rPr>
                <w:b w:val="0"/>
                <w:sz w:val="18"/>
              </w:rPr>
              <w:t>extract_pptx_objects()</w:t>
            </w:r>
          </w:p>
        </w:tc>
        <w:tc>
          <w:tcPr>
            <w:tcW w:type="dxa" w:w="5040"/>
            <w:vAlign w:val="top"/>
          </w:tcPr>
          <w:p>
            <w:r/>
            <w:r>
              <w:rPr>
                <w:b w:val="0"/>
                <w:sz w:val="18"/>
              </w:rPr>
              <w:t>Validate input, open the presentation, enumerate slides, recursively walk shapes, create SlideObject records, and preserve group containment.</w:t>
            </w:r>
          </w:p>
        </w:tc>
      </w:tr>
      <w:tr>
        <w:tc>
          <w:tcPr>
            <w:tcW w:type="dxa" w:w="5040"/>
            <w:vAlign w:val="top"/>
          </w:tcPr>
          <w:p>
            <w:r/>
            <w:r>
              <w:rPr>
                <w:b w:val="0"/>
                <w:sz w:val="18"/>
              </w:rPr>
              <w:t>extract_pptx_relationships()</w:t>
            </w:r>
          </w:p>
        </w:tc>
        <w:tc>
          <w:tcPr>
            <w:tcW w:type="dxa" w:w="5040"/>
            <w:vAlign w:val="top"/>
          </w:tcPr>
          <w:p>
            <w:r/>
            <w:r>
              <w:rPr>
                <w:b w:val="0"/>
                <w:sz w:val="18"/>
              </w:rPr>
              <w:t>Filter connector-like objects, compute connector endpoints, identify nearest candidate source and target objects on the same slide, and create Relationship records.</w:t>
            </w:r>
          </w:p>
        </w:tc>
      </w:tr>
      <w:tr>
        <w:tc>
          <w:tcPr>
            <w:tcW w:type="dxa" w:w="5040"/>
            <w:vAlign w:val="top"/>
          </w:tcPr>
          <w:p>
            <w:r/>
            <w:r>
              <w:rPr>
                <w:b w:val="0"/>
                <w:sz w:val="18"/>
              </w:rPr>
              <w:t>write_objects_csv()</w:t>
            </w:r>
          </w:p>
        </w:tc>
        <w:tc>
          <w:tcPr>
            <w:tcW w:type="dxa" w:w="5040"/>
            <w:vAlign w:val="top"/>
          </w:tcPr>
          <w:p>
            <w:r/>
            <w:r>
              <w:rPr>
                <w:b w:val="0"/>
                <w:sz w:val="18"/>
              </w:rPr>
              <w:t>Write one row per SlideObject using the Phase 1-compatible object CSV schema.</w:t>
            </w:r>
          </w:p>
        </w:tc>
      </w:tr>
      <w:tr>
        <w:tc>
          <w:tcPr>
            <w:tcW w:type="dxa" w:w="5040"/>
            <w:vAlign w:val="top"/>
          </w:tcPr>
          <w:p>
            <w:r/>
            <w:r>
              <w:rPr>
                <w:b w:val="0"/>
                <w:sz w:val="18"/>
              </w:rPr>
              <w:t>write_relationships_csv()</w:t>
            </w:r>
          </w:p>
        </w:tc>
        <w:tc>
          <w:tcPr>
            <w:tcW w:type="dxa" w:w="5040"/>
            <w:vAlign w:val="top"/>
          </w:tcPr>
          <w:p>
            <w:r/>
            <w:r>
              <w:rPr>
                <w:b w:val="0"/>
                <w:sz w:val="18"/>
              </w:rPr>
              <w:t>Write one row per Relationship using the relationship CSV schema.</w:t>
            </w:r>
          </w:p>
        </w:tc>
      </w:tr>
      <w:tr>
        <w:tc>
          <w:tcPr>
            <w:tcW w:type="dxa" w:w="5040"/>
            <w:vAlign w:val="top"/>
          </w:tcPr>
          <w:p>
            <w:r/>
            <w:r>
              <w:rPr>
                <w:b w:val="0"/>
                <w:sz w:val="18"/>
              </w:rPr>
              <w:t>run_test_suite.py</w:t>
            </w:r>
          </w:p>
        </w:tc>
        <w:tc>
          <w:tcPr>
            <w:tcW w:type="dxa" w:w="5040"/>
            <w:vAlign w:val="top"/>
          </w:tcPr>
          <w:p>
            <w:r/>
            <w:r>
              <w:rPr>
                <w:b w:val="0"/>
                <w:sz w:val="18"/>
              </w:rPr>
              <w:t>Load the manifest, run extraction, compare actual outputs against expected outputs, and write CSV and Word reports.</w:t>
            </w:r>
          </w:p>
        </w:tc>
      </w:tr>
      <w:tr>
        <w:tc>
          <w:tcPr>
            <w:tcW w:type="dxa" w:w="5040"/>
            <w:vAlign w:val="top"/>
          </w:tcPr>
          <w:p>
            <w:r/>
            <w:r>
              <w:rPr>
                <w:b w:val="0"/>
                <w:sz w:val="18"/>
              </w:rPr>
              <w:t>main()</w:t>
            </w:r>
          </w:p>
        </w:tc>
        <w:tc>
          <w:tcPr>
            <w:tcW w:type="dxa" w:w="5040"/>
            <w:vAlign w:val="top"/>
          </w:tcPr>
          <w:p>
            <w:r/>
            <w:r>
              <w:rPr>
                <w:b w:val="0"/>
                <w:sz w:val="18"/>
              </w:rPr>
              <w:t>Parse CLI arguments, call object extraction, call relationship extraction, write both CSV files, and print a summary.</w:t>
            </w:r>
          </w:p>
        </w:tc>
      </w:tr>
    </w:tbl>
    <w:p/>
    <w:p>
      <w:pPr>
        <w:pStyle w:val="Heading1"/>
      </w:pPr>
      <w:r>
        <w:t>10. Error Handling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Condition</w:t>
            </w:r>
          </w:p>
        </w:tc>
        <w:tc>
          <w:tcPr>
            <w:tcW w:type="dxa" w:w="3360"/>
            <w:vAlign w:val="top"/>
            <w:shd w:fill="D9EAF7"/>
          </w:tcPr>
          <w:p>
            <w:r/>
            <w:r>
              <w:rPr>
                <w:b/>
                <w:sz w:val="18"/>
              </w:rPr>
              <w:t>Handling Strategy</w:t>
            </w:r>
          </w:p>
        </w:tc>
        <w:tc>
          <w:tcPr>
            <w:tcW w:type="dxa" w:w="3360"/>
            <w:vAlign w:val="top"/>
            <w:shd w:fill="D9EAF7"/>
          </w:tcPr>
          <w:p>
            <w:r/>
            <w:r>
              <w:rPr>
                <w:b/>
                <w:sz w:val="18"/>
              </w:rPr>
              <w:t>User Impact</w:t>
            </w:r>
          </w:p>
        </w:tc>
      </w:tr>
      <w:tr>
        <w:tc>
          <w:tcPr>
            <w:tcW w:type="dxa" w:w="3360"/>
            <w:vAlign w:val="top"/>
          </w:tcPr>
          <w:p>
            <w:r/>
            <w:r>
              <w:rPr>
                <w:b w:val="0"/>
                <w:sz w:val="18"/>
              </w:rPr>
              <w:t>Input file does not exist</w:t>
            </w:r>
          </w:p>
        </w:tc>
        <w:tc>
          <w:tcPr>
            <w:tcW w:type="dxa" w:w="3360"/>
            <w:vAlign w:val="top"/>
          </w:tcPr>
          <w:p>
            <w:r/>
            <w:r>
              <w:rPr>
                <w:b w:val="0"/>
                <w:sz w:val="18"/>
              </w:rPr>
              <w:t>Raise FileNotFoundError</w:t>
            </w:r>
          </w:p>
        </w:tc>
        <w:tc>
          <w:tcPr>
            <w:tcW w:type="dxa" w:w="3360"/>
            <w:vAlign w:val="top"/>
          </w:tcPr>
          <w:p>
            <w:r/>
            <w:r>
              <w:rPr>
                <w:b w:val="0"/>
                <w:sz w:val="18"/>
              </w:rPr>
              <w:t>Execution stops with clear missing-file message.</w:t>
            </w:r>
          </w:p>
        </w:tc>
      </w:tr>
      <w:tr>
        <w:tc>
          <w:tcPr>
            <w:tcW w:type="dxa" w:w="3360"/>
            <w:vAlign w:val="top"/>
          </w:tcPr>
          <w:p>
            <w:r/>
            <w:r>
              <w:rPr>
                <w:b w:val="0"/>
                <w:sz w:val="18"/>
              </w:rPr>
              <w:t>Input file is not .pptx</w:t>
            </w:r>
          </w:p>
        </w:tc>
        <w:tc>
          <w:tcPr>
            <w:tcW w:type="dxa" w:w="3360"/>
            <w:vAlign w:val="top"/>
          </w:tcPr>
          <w:p>
            <w:r/>
            <w:r>
              <w:rPr>
                <w:b w:val="0"/>
                <w:sz w:val="18"/>
              </w:rPr>
              <w:t>Raise ValueError</w:t>
            </w:r>
          </w:p>
        </w:tc>
        <w:tc>
          <w:tcPr>
            <w:tcW w:type="dxa" w:w="3360"/>
            <w:vAlign w:val="top"/>
          </w:tcPr>
          <w:p>
            <w:r/>
            <w:r>
              <w:rPr>
                <w:b w:val="0"/>
                <w:sz w:val="18"/>
              </w:rPr>
              <w:t>Execution stops before attempting parse.</w:t>
            </w:r>
          </w:p>
        </w:tc>
      </w:tr>
      <w:tr>
        <w:tc>
          <w:tcPr>
            <w:tcW w:type="dxa" w:w="3360"/>
            <w:vAlign w:val="top"/>
          </w:tcPr>
          <w:p>
            <w:r/>
            <w:r>
              <w:rPr>
                <w:b w:val="0"/>
                <w:sz w:val="18"/>
              </w:rPr>
              <w:t>Output directory missing</w:t>
            </w:r>
          </w:p>
        </w:tc>
        <w:tc>
          <w:tcPr>
            <w:tcW w:type="dxa" w:w="3360"/>
            <w:vAlign w:val="top"/>
          </w:tcPr>
          <w:p>
            <w:r/>
            <w:r>
              <w:rPr>
                <w:b w:val="0"/>
                <w:sz w:val="18"/>
              </w:rPr>
              <w:t>Create directory</w:t>
            </w:r>
          </w:p>
        </w:tc>
        <w:tc>
          <w:tcPr>
            <w:tcW w:type="dxa" w:w="3360"/>
            <w:vAlign w:val="top"/>
          </w:tcPr>
          <w:p>
            <w:r/>
            <w:r>
              <w:rPr>
                <w:b w:val="0"/>
                <w:sz w:val="18"/>
              </w:rPr>
              <w:t>No user pre-creation required.</w:t>
            </w:r>
          </w:p>
        </w:tc>
      </w:tr>
      <w:tr>
        <w:tc>
          <w:tcPr>
            <w:tcW w:type="dxa" w:w="3360"/>
            <w:vAlign w:val="top"/>
          </w:tcPr>
          <w:p>
            <w:r/>
            <w:r>
              <w:rPr>
                <w:b w:val="0"/>
                <w:sz w:val="18"/>
              </w:rPr>
              <w:t>No objects detected</w:t>
            </w:r>
          </w:p>
        </w:tc>
        <w:tc>
          <w:tcPr>
            <w:tcW w:type="dxa" w:w="3360"/>
            <w:vAlign w:val="top"/>
          </w:tcPr>
          <w:p>
            <w:r/>
            <w:r>
              <w:rPr>
                <w:b w:val="0"/>
                <w:sz w:val="18"/>
              </w:rPr>
              <w:t>Write header-only objects CSV and relationships CSV</w:t>
            </w:r>
          </w:p>
        </w:tc>
        <w:tc>
          <w:tcPr>
            <w:tcW w:type="dxa" w:w="3360"/>
            <w:vAlign w:val="top"/>
          </w:tcPr>
          <w:p>
            <w:r/>
            <w:r>
              <w:rPr>
                <w:b w:val="0"/>
                <w:sz w:val="18"/>
              </w:rPr>
              <w:t>Downstream schema remains stable.</w:t>
            </w:r>
          </w:p>
        </w:tc>
      </w:tr>
      <w:tr>
        <w:tc>
          <w:tcPr>
            <w:tcW w:type="dxa" w:w="3360"/>
            <w:vAlign w:val="top"/>
          </w:tcPr>
          <w:p>
            <w:r/>
            <w:r>
              <w:rPr>
                <w:b w:val="0"/>
                <w:sz w:val="18"/>
              </w:rPr>
              <w:t>No relationships detected</w:t>
            </w:r>
          </w:p>
        </w:tc>
        <w:tc>
          <w:tcPr>
            <w:tcW w:type="dxa" w:w="3360"/>
            <w:vAlign w:val="top"/>
          </w:tcPr>
          <w:p>
            <w:r/>
            <w:r>
              <w:rPr>
                <w:b w:val="0"/>
                <w:sz w:val="18"/>
              </w:rPr>
              <w:t>Write header-only relationships CSV</w:t>
            </w:r>
          </w:p>
        </w:tc>
        <w:tc>
          <w:tcPr>
            <w:tcW w:type="dxa" w:w="3360"/>
            <w:vAlign w:val="top"/>
          </w:tcPr>
          <w:p>
            <w:r/>
            <w:r>
              <w:rPr>
                <w:b w:val="0"/>
                <w:sz w:val="18"/>
              </w:rPr>
              <w:t>Downstream ingestion still receives known interface.</w:t>
            </w:r>
          </w:p>
        </w:tc>
      </w:tr>
      <w:tr>
        <w:tc>
          <w:tcPr>
            <w:tcW w:type="dxa" w:w="3360"/>
            <w:vAlign w:val="top"/>
          </w:tcPr>
          <w:p>
            <w:r/>
            <w:r>
              <w:rPr>
                <w:b w:val="0"/>
                <w:sz w:val="18"/>
              </w:rPr>
              <w:t>Shape lacks expected geometry</w:t>
            </w:r>
          </w:p>
        </w:tc>
        <w:tc>
          <w:tcPr>
            <w:tcW w:type="dxa" w:w="3360"/>
            <w:vAlign w:val="top"/>
          </w:tcPr>
          <w:p>
            <w:r/>
            <w:r>
              <w:rPr>
                <w:b w:val="0"/>
                <w:sz w:val="18"/>
              </w:rPr>
              <w:t>Write blank/null fields or skip as relationship candidate as appropriate</w:t>
            </w:r>
          </w:p>
        </w:tc>
        <w:tc>
          <w:tcPr>
            <w:tcW w:type="dxa" w:w="3360"/>
            <w:vAlign w:val="top"/>
          </w:tcPr>
          <w:p>
            <w:r/>
            <w:r>
              <w:rPr>
                <w:b w:val="0"/>
                <w:sz w:val="18"/>
              </w:rPr>
              <w:t>CSV remains valid.</w:t>
            </w:r>
          </w:p>
        </w:tc>
      </w:tr>
      <w:tr>
        <w:tc>
          <w:tcPr>
            <w:tcW w:type="dxa" w:w="3360"/>
            <w:vAlign w:val="top"/>
          </w:tcPr>
          <w:p>
            <w:r/>
            <w:r>
              <w:rPr>
                <w:b w:val="0"/>
                <w:sz w:val="18"/>
              </w:rPr>
              <w:t>Expected file missing in test harness</w:t>
            </w:r>
          </w:p>
        </w:tc>
        <w:tc>
          <w:tcPr>
            <w:tcW w:type="dxa" w:w="3360"/>
            <w:vAlign w:val="top"/>
          </w:tcPr>
          <w:p>
            <w:r/>
            <w:r>
              <w:rPr>
                <w:b w:val="0"/>
                <w:sz w:val="18"/>
              </w:rPr>
              <w:t>Report test error</w:t>
            </w:r>
          </w:p>
        </w:tc>
        <w:tc>
          <w:tcPr>
            <w:tcW w:type="dxa" w:w="3360"/>
            <w:vAlign w:val="top"/>
          </w:tcPr>
          <w:p>
            <w:r/>
            <w:r>
              <w:rPr>
                <w:b w:val="0"/>
                <w:sz w:val="18"/>
              </w:rPr>
              <w:t>Capability grading stops for the affected test case.</w:t>
            </w:r>
          </w:p>
        </w:tc>
      </w:tr>
    </w:tbl>
    <w:p/>
    <w:p>
      <w:pPr>
        <w:pStyle w:val="Heading1"/>
      </w:pPr>
      <w:r>
        <w:t>11. Limitations and Future Design Hooks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Future Capability</w:t>
            </w:r>
          </w:p>
        </w:tc>
        <w:tc>
          <w:tcPr>
            <w:tcW w:type="dxa" w:w="5040"/>
            <w:vAlign w:val="top"/>
            <w:shd w:fill="D9EAF7"/>
          </w:tcPr>
          <w:p>
            <w:r/>
            <w:r>
              <w:rPr>
                <w:b/>
                <w:sz w:val="18"/>
              </w:rPr>
              <w:t>Design Hook Provided by v0.5</w:t>
            </w:r>
          </w:p>
        </w:tc>
      </w:tr>
      <w:tr>
        <w:tc>
          <w:tcPr>
            <w:tcW w:type="dxa" w:w="5040"/>
            <w:vAlign w:val="top"/>
          </w:tcPr>
          <w:p>
            <w:r/>
            <w:r>
              <w:rPr>
                <w:b w:val="0"/>
                <w:sz w:val="18"/>
              </w:rPr>
              <w:t>Relationship label association</w:t>
            </w:r>
          </w:p>
        </w:tc>
        <w:tc>
          <w:tcPr>
            <w:tcW w:type="dxa" w:w="5040"/>
            <w:vAlign w:val="top"/>
          </w:tcPr>
          <w:p>
            <w:r/>
            <w:r>
              <w:rPr>
                <w:b w:val="0"/>
                <w:sz w:val="18"/>
              </w:rPr>
              <w:t>Relationship record includes label_text; nearby text boxes can be associated in a future release.</w:t>
            </w:r>
          </w:p>
        </w:tc>
      </w:tr>
      <w:tr>
        <w:tc>
          <w:tcPr>
            <w:tcW w:type="dxa" w:w="5040"/>
            <w:vAlign w:val="top"/>
          </w:tcPr>
          <w:p>
            <w:r/>
            <w:r>
              <w:rPr>
                <w:b w:val="0"/>
                <w:sz w:val="18"/>
              </w:rPr>
              <w:t>Semantic classification</w:t>
            </w:r>
          </w:p>
        </w:tc>
        <w:tc>
          <w:tcPr>
            <w:tcW w:type="dxa" w:w="5040"/>
            <w:vAlign w:val="top"/>
          </w:tcPr>
          <w:p>
            <w:r/>
            <w:r>
              <w:rPr>
                <w:b w:val="0"/>
                <w:sz w:val="18"/>
              </w:rPr>
              <w:t>relationship_type can evolve beyond connector-derived default values.</w:t>
            </w:r>
          </w:p>
        </w:tc>
      </w:tr>
      <w:tr>
        <w:tc>
          <w:tcPr>
            <w:tcW w:type="dxa" w:w="5040"/>
            <w:vAlign w:val="top"/>
          </w:tcPr>
          <w:p>
            <w:r/>
            <w:r>
              <w:rPr>
                <w:b w:val="0"/>
                <w:sz w:val="18"/>
              </w:rPr>
              <w:t>Graph/JSON export</w:t>
            </w:r>
          </w:p>
        </w:tc>
        <w:tc>
          <w:tcPr>
            <w:tcW w:type="dxa" w:w="5040"/>
            <w:vAlign w:val="top"/>
          </w:tcPr>
          <w:p>
            <w:r/>
            <w:r>
              <w:rPr>
                <w:b w:val="0"/>
                <w:sz w:val="18"/>
              </w:rPr>
              <w:t>SlideObject and Relationship records form a normalized graph foundation.</w:t>
            </w:r>
          </w:p>
        </w:tc>
      </w:tr>
      <w:tr>
        <w:tc>
          <w:tcPr>
            <w:tcW w:type="dxa" w:w="5040"/>
            <w:vAlign w:val="top"/>
          </w:tcPr>
          <w:p>
            <w:r/>
            <w:r>
              <w:rPr>
                <w:b w:val="0"/>
                <w:sz w:val="18"/>
              </w:rPr>
              <w:t>MBSE export</w:t>
            </w:r>
          </w:p>
        </w:tc>
        <w:tc>
          <w:tcPr>
            <w:tcW w:type="dxa" w:w="5040"/>
            <w:vAlign w:val="top"/>
          </w:tcPr>
          <w:p>
            <w:r/>
            <w:r>
              <w:rPr>
                <w:b w:val="0"/>
                <w:sz w:val="18"/>
              </w:rPr>
              <w:t>Stable object and relationship IDs can map to external model elements.</w:t>
            </w:r>
          </w:p>
        </w:tc>
      </w:tr>
      <w:tr>
        <w:tc>
          <w:tcPr>
            <w:tcW w:type="dxa" w:w="5040"/>
            <w:vAlign w:val="top"/>
          </w:tcPr>
          <w:p>
            <w:r/>
            <w:r>
              <w:rPr>
                <w:b w:val="0"/>
                <w:sz w:val="18"/>
              </w:rPr>
              <w:t>Database ingestion</w:t>
            </w:r>
          </w:p>
        </w:tc>
        <w:tc>
          <w:tcPr>
            <w:tcW w:type="dxa" w:w="5040"/>
            <w:vAlign w:val="top"/>
          </w:tcPr>
          <w:p>
            <w:r/>
            <w:r>
              <w:rPr>
                <w:b w:val="0"/>
                <w:sz w:val="18"/>
              </w:rPr>
              <w:t>Flat CSV outputs are relational-friendly.</w:t>
            </w:r>
          </w:p>
        </w:tc>
      </w:tr>
      <w:tr>
        <w:tc>
          <w:tcPr>
            <w:tcW w:type="dxa" w:w="5040"/>
            <w:vAlign w:val="top"/>
          </w:tcPr>
          <w:p>
            <w:r/>
            <w:r>
              <w:rPr>
                <w:b w:val="0"/>
                <w:sz w:val="18"/>
              </w:rPr>
              <w:t>OCR/image interpretation</w:t>
            </w:r>
          </w:p>
        </w:tc>
        <w:tc>
          <w:tcPr>
            <w:tcW w:type="dxa" w:w="5040"/>
            <w:vAlign w:val="top"/>
          </w:tcPr>
          <w:p>
            <w:r/>
            <w:r>
              <w:rPr>
                <w:b w:val="0"/>
                <w:sz w:val="18"/>
              </w:rPr>
              <w:t>Excluded by design; can be added as a separate module later.</w:t>
            </w:r>
          </w:p>
        </w:tc>
      </w:tr>
    </w:tbl>
    <w:p/>
    <w:p>
      <w:pPr>
        <w:pStyle w:val="Heading1"/>
      </w:pPr>
      <w:r>
        <w:t>Appendix A. 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Version</w:t>
            </w:r>
          </w:p>
        </w:tc>
        <w:tc>
          <w:tcPr>
            <w:tcW w:type="dxa" w:w="3360"/>
            <w:vAlign w:val="top"/>
            <w:shd w:fill="D9EAF7"/>
          </w:tcPr>
          <w:p>
            <w:r/>
            <w:r>
              <w:rPr>
                <w:b/>
                <w:sz w:val="18"/>
              </w:rPr>
              <w:t>Date</w:t>
            </w:r>
          </w:p>
        </w:tc>
        <w:tc>
          <w:tcPr>
            <w:tcW w:type="dxa" w:w="3360"/>
            <w:vAlign w:val="top"/>
            <w:shd w:fill="D9EAF7"/>
          </w:tcPr>
          <w:p>
            <w:r/>
            <w:r>
              <w:rPr>
                <w:b/>
                <w:sz w:val="18"/>
              </w:rPr>
              <w:t>Description</w:t>
            </w:r>
          </w:p>
        </w:tc>
      </w:tr>
      <w:tr>
        <w:tc>
          <w:tcPr>
            <w:tcW w:type="dxa" w:w="3360"/>
            <w:vAlign w:val="top"/>
          </w:tcPr>
          <w:p>
            <w:r/>
            <w:r>
              <w:rPr>
                <w:b w:val="0"/>
                <w:sz w:val="18"/>
              </w:rPr>
              <w:t>0.2</w:t>
            </w:r>
          </w:p>
        </w:tc>
        <w:tc>
          <w:tcPr>
            <w:tcW w:type="dxa" w:w="3360"/>
            <w:vAlign w:val="top"/>
          </w:tcPr>
          <w:p>
            <w:r/>
            <w:r>
              <w:rPr>
                <w:b w:val="0"/>
                <w:sz w:val="18"/>
              </w:rPr>
              <w:t>2026-06-27</w:t>
            </w:r>
          </w:p>
        </w:tc>
        <w:tc>
          <w:tcPr>
            <w:tcW w:type="dxa" w:w="3360"/>
            <w:vAlign w:val="top"/>
          </w:tcPr>
          <w:p>
            <w:r/>
            <w:r>
              <w:rPr>
                <w:b w:val="0"/>
                <w:sz w:val="18"/>
              </w:rPr>
              <w:t>Object extraction design baseline.</w:t>
            </w:r>
          </w:p>
        </w:tc>
      </w:tr>
      <w:tr>
        <w:tc>
          <w:tcPr>
            <w:tcW w:type="dxa" w:w="3360"/>
            <w:vAlign w:val="top"/>
          </w:tcPr>
          <w:p>
            <w:r/>
            <w:r>
              <w:rPr>
                <w:b w:val="0"/>
                <w:sz w:val="18"/>
              </w:rPr>
              <w:t>0.3</w:t>
            </w:r>
          </w:p>
        </w:tc>
        <w:tc>
          <w:tcPr>
            <w:tcW w:type="dxa" w:w="3360"/>
            <w:vAlign w:val="top"/>
          </w:tcPr>
          <w:p>
            <w:r/>
            <w:r>
              <w:rPr>
                <w:b w:val="0"/>
                <w:sz w:val="18"/>
              </w:rPr>
              <w:t>2026-06-28</w:t>
            </w:r>
          </w:p>
        </w:tc>
        <w:tc>
          <w:tcPr>
            <w:tcW w:type="dxa" w:w="3360"/>
            <w:vAlign w:val="top"/>
          </w:tcPr>
          <w:p>
            <w:r/>
            <w:r>
              <w:rPr>
                <w:b w:val="0"/>
                <w:sz w:val="18"/>
              </w:rPr>
              <w:t>Updated SDD for modular architecture with graphical package, module responsibility, data flow, data model, activity, sequence, and dependency diagrams.</w:t>
            </w:r>
          </w:p>
        </w:tc>
      </w:tr>
      <w:tr>
        <w:tc>
          <w:tcPr>
            <w:tcW w:type="dxa" w:w="3360"/>
            <w:vAlign w:val="top"/>
          </w:tcPr>
          <w:p>
            <w:r/>
            <w:r>
              <w:rPr>
                <w:b w:val="0"/>
                <w:sz w:val="18"/>
              </w:rPr>
              <w:t>0.4</w:t>
            </w:r>
          </w:p>
        </w:tc>
        <w:tc>
          <w:tcPr>
            <w:tcW w:type="dxa" w:w="3360"/>
            <w:vAlign w:val="top"/>
          </w:tcPr>
          <w:p>
            <w:r/>
            <w:r>
              <w:rPr>
                <w:b w:val="0"/>
                <w:sz w:val="18"/>
              </w:rPr>
              <w:t>2026-07-02</w:t>
            </w:r>
          </w:p>
        </w:tc>
        <w:tc>
          <w:tcPr>
            <w:tcW w:type="dxa" w:w="3360"/>
            <w:vAlign w:val="top"/>
          </w:tcPr>
          <w:p>
            <w:r/>
            <w:r>
              <w:rPr>
                <w:b w:val="0"/>
                <w:sz w:val="18"/>
              </w:rPr>
              <w:t>Added relationship test expectations for existing TC009 and TC010 cases.</w:t>
            </w:r>
          </w:p>
        </w:tc>
      </w:tr>
      <w:tr>
        <w:tc>
          <w:tcPr>
            <w:tcW w:type="dxa" w:w="3360"/>
            <w:vAlign w:val="top"/>
          </w:tcPr>
          <w:p>
            <w:r/>
            <w:r>
              <w:rPr>
                <w:b w:val="0"/>
                <w:sz w:val="18"/>
              </w:rPr>
              <w:t>0.5</w:t>
            </w:r>
          </w:p>
        </w:tc>
        <w:tc>
          <w:tcPr>
            <w:tcW w:type="dxa" w:w="3360"/>
            <w:vAlign w:val="top"/>
          </w:tcPr>
          <w:p>
            <w:r/>
            <w:r>
              <w:rPr>
                <w:b w:val="0"/>
                <w:sz w:val="18"/>
              </w:rPr>
              <w:t>2026-07-03</w:t>
            </w:r>
          </w:p>
        </w:tc>
        <w:tc>
          <w:tcPr>
            <w:tcW w:type="dxa" w:w="3360"/>
            <w:vAlign w:val="top"/>
          </w:tcPr>
          <w:p>
            <w:r/>
            <w:r>
              <w:rPr>
                <w:b w:val="0"/>
                <w:sz w:val="18"/>
              </w:rPr>
              <w:t>Added control-logic test coverage and restored graphical diagrams as required supporting-document content.</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