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1–6, and their worksheets. Chapters 7–12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forcing accounts can cost you sales.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proves checkout works end to end without risk.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6, and their worksheets are the only drafted sections. Chapters 7–12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 without drifting into taxes, bookkeeping, accounting, chargeback/fraud management, fee comparison, processor recommendations, international markets or multi-currency, shipping, fulfillment, Printify, products, collections, navigation, policy drafting, domain/DNS, checkout branding/extensibility, B2B or POS, test-order fulfillment, shipping-label purchase, or launch. Printify is mentioned only as one future fulfillment option and is not taught. No chapters beyond Chapter 6 were added. Recommended status for this pass: review Chapter 6, then approve to continue to Chapter 7.</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2026-07-17T04:49:48.533Z</dcterms:created>
  <dcterms:modified xsi:type="dcterms:W3CDTF">2026-07-17T04:49:48.534Z</dcterms:modified>
</cp:coreProperties>
</file>

<file path=docProps/custom.xml><?xml version="1.0" encoding="utf-8"?>
<Properties xmlns="http://schemas.openxmlformats.org/officeDocument/2006/custom-properties" xmlns:vt="http://schemas.openxmlformats.org/officeDocument/2006/docPropsVTypes"/>
</file>