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1–5, and their worksheets. Chapters 6–12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refunds, and chargebacks, and it signals that a real business stands behind the store.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5, and their worksheets are the only drafted sections. Chapters 6–12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 without drifting into payments, checkout, taxes, shipping, fulfillment, product creation, collections, navigation configuration, policy drafting, domain or DNS, email-domain authentication (SPF/DKIM/DMARC), professional email-provider setup, marketing or subscriber collection, helpdesk or chat implementation, phone-system recommendations, branding or theme customization, legal advice, test orders, or launch. Printify is mentioned only as one future fulfillment option and is not taught. No chapters beyond Chapter 5 were added. Recommended status for this pass: review Chapter 5, then approve to continue to Chapter 6.</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2026-07-17T02:35:37.907Z</dcterms:created>
  <dcterms:modified xsi:type="dcterms:W3CDTF">2026-07-17T02:35:37.908Z</dcterms:modified>
</cp:coreProperties>
</file>

<file path=docProps/custom.xml><?xml version="1.0" encoding="utf-8"?>
<Properties xmlns="http://schemas.openxmlformats.org/officeDocument/2006/custom-properties" xmlns:vt="http://schemas.openxmlformats.org/officeDocument/2006/docPropsVTypes"/>
</file>