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1–4, and their worksheets. Chapters 5–12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4, and their worksheets are the only drafted sections. Chapters 5–12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 without drifting into theme or storefront design, products, collections, navigation, customer-facing pages, payments, checkout, taxes, shipping, fulfillment, Printify, domain or DNS, email setup, policies, testing, launch, or staff-permission administration. Printify is mentioned only as one future fulfillment option and is not taught. No chapters beyond Chapter 4 were added. Recommended status for this pass: review Chapter 4, then approve to continue to Chapter 5.</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2026-07-17T01:29:36.766Z</dcterms:created>
  <dcterms:modified xsi:type="dcterms:W3CDTF">2026-07-17T01:29:36.767Z</dcterms:modified>
</cp:coreProperties>
</file>

<file path=docProps/custom.xml><?xml version="1.0" encoding="utf-8"?>
<Properties xmlns="http://schemas.openxmlformats.org/officeDocument/2006/custom-properties" xmlns:vt="http://schemas.openxmlformats.org/officeDocument/2006/docPropsVTypes"/>
</file>