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1–6, and their worksheets. Chapters 7–12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6, and their worksheets are the only drafted sections. Chapters 7–12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 without drifting into taxes, bookkeeping, accounting, chargeback/fraud management, fee comparison, processor recommendations, international markets or multi-currency, shipping, fulfillment, Printify, products, collections, navigation, policy drafting, domain/DNS, checkout branding/extensibility, B2B or POS, test-order fulfillment, shipping-label purchase, or launch. Printify is mentioned only as one future fulfillment option and is not taught. No chapters beyond Chapter 6 were added. Recommended status for this pass: review Chapter 6, then approve to continue to Chapter 7.</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2026-07-17T04:56:37.840Z</dcterms:created>
  <dcterms:modified xsi:type="dcterms:W3CDTF">2026-07-17T04:56:37.842Z</dcterms:modified>
</cp:coreProperties>
</file>

<file path=docProps/custom.xml><?xml version="1.0" encoding="utf-8"?>
<Properties xmlns="http://schemas.openxmlformats.org/officeDocument/2006/custom-properties" xmlns:vt="http://schemas.openxmlformats.org/officeDocument/2006/docPropsVTypes"/>
</file>