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1–5, and their worksheets. Chapters 6–12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5, and their worksheets are the only drafted sections. Chapters 6–12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 without drifting into payments, checkout, taxes, shipping, fulfillment, product creation, collections, navigation configuration, policy drafting, domain or DNS, email-domain authentication (SPF/DKIM/DMARC), professional email-provider setup, marketing or subscriber collection, helpdesk or chat implementation, phone-system recommendations, branding or theme customization, legal advice, test orders, or launch. Printify is mentioned only as one future fulfillment option and is not taught. No chapters beyond Chapter 5 were added. Recommended status for this pass: review Chapter 5, then approve to continue to Chapter 6.</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2026-07-17T03:26:49.237Z</dcterms:created>
  <dcterms:modified xsi:type="dcterms:W3CDTF">2026-07-17T03:26:49.238Z</dcterms:modified>
</cp:coreProperties>
</file>

<file path=docProps/custom.xml><?xml version="1.0" encoding="utf-8"?>
<Properties xmlns="http://schemas.openxmlformats.org/officeDocument/2006/custom-properties" xmlns:vt="http://schemas.openxmlformats.org/officeDocument/2006/docPropsVTypes"/>
</file>