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1–7, and their worksheets. Chapters 8–12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7, and their worksheets are the only drafted sections. Chapters 8–12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 without drifting into detailed shipping-rate configuration, carrier-rate comparison, shipping-label pricing, packaging/dropshipping-supplier recommendations, customs, international shipping, taxes, bookkeeping, product creation/pricing/description/photography/mockups, Printify product design or provider/pricing comparison, wholesale sourcing, Amazon FBA, collections, navigation, policy/return/refund drafting, legal contracts, full test orders, or launch. Printify is presented as one of five fulfillment options (not the default) and is not over-taught. No chapters beyond Chapter 7 were added. Recommended status for this pass: review Chapter 7, then approve to continue to Chapter 8.</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2026-07-17T05:37:15.531Z</dcterms:created>
  <dcterms:modified xsi:type="dcterms:W3CDTF">2026-07-17T05:37:15.532Z</dcterms:modified>
</cp:coreProperties>
</file>

<file path=docProps/custom.xml><?xml version="1.0" encoding="utf-8"?>
<Properties xmlns="http://schemas.openxmlformats.org/officeDocument/2006/custom-properties" xmlns:vt="http://schemas.openxmlformats.org/officeDocument/2006/docPropsVTypes"/>
</file>