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0"/>
        <w:gridCol w:w="3680"/>
      </w:tblGrid>
      <w:tr w:rsidR="00020A75" w14:paraId="57A98E1E" w14:textId="77777777">
        <w:tc>
          <w:tcPr>
            <w:tcW w:w="10080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6D3C27" w14:textId="77777777" w:rsidR="00020A75" w:rsidRDefault="001511A5">
            <w:pPr>
              <w:spacing w:after="40"/>
              <w:jc w:val="center"/>
            </w:pPr>
            <w:r>
              <w:rPr>
                <w:b/>
                <w:bCs/>
                <w:sz w:val="20"/>
                <w:szCs w:val="20"/>
              </w:rPr>
              <w:t>Equipo 16</w:t>
            </w:r>
          </w:p>
        </w:tc>
      </w:tr>
      <w:tr w:rsidR="00020A75" w14:paraId="3323AA21" w14:textId="77777777">
        <w:tc>
          <w:tcPr>
            <w:tcW w:w="6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BDF422" w14:textId="77777777" w:rsidR="00020A75" w:rsidRPr="001511A5" w:rsidRDefault="001511A5">
            <w:pPr>
              <w:spacing w:after="40"/>
              <w:rPr>
                <w:lang w:val="en-US"/>
              </w:rPr>
            </w:pPr>
            <w:r w:rsidRPr="001511A5">
              <w:rPr>
                <w:b/>
                <w:bCs/>
                <w:sz w:val="20"/>
                <w:szCs w:val="20"/>
                <w:lang w:val="en-US"/>
              </w:rPr>
              <w:t>Nombre</w:t>
            </w:r>
            <w:r w:rsidRPr="001511A5">
              <w:rPr>
                <w:sz w:val="20"/>
                <w:szCs w:val="20"/>
                <w:lang w:val="en-US"/>
              </w:rPr>
              <w:t>:</w:t>
            </w:r>
          </w:p>
          <w:p w14:paraId="784B9104" w14:textId="77777777" w:rsidR="00020A75" w:rsidRPr="001511A5" w:rsidRDefault="00020A75">
            <w:pPr>
              <w:spacing w:after="40"/>
              <w:rPr>
                <w:lang w:val="en-US"/>
              </w:rPr>
            </w:pPr>
          </w:p>
          <w:p w14:paraId="06075066" w14:textId="77777777" w:rsidR="00020A75" w:rsidRPr="001511A5" w:rsidRDefault="001511A5">
            <w:pPr>
              <w:spacing w:after="40"/>
              <w:rPr>
                <w:lang w:val="en-US"/>
              </w:rPr>
            </w:pPr>
            <w:r w:rsidRPr="001511A5">
              <w:rPr>
                <w:sz w:val="20"/>
                <w:szCs w:val="20"/>
                <w:lang w:val="en-US"/>
              </w:rPr>
              <w:t>Lesly Adamaris Cotlame Nieto</w:t>
            </w:r>
          </w:p>
          <w:p w14:paraId="61A41BF7" w14:textId="77777777" w:rsidR="00020A75" w:rsidRPr="001511A5" w:rsidRDefault="00020A75">
            <w:pPr>
              <w:spacing w:after="40"/>
              <w:rPr>
                <w:lang w:val="en-US"/>
              </w:rPr>
            </w:pPr>
          </w:p>
          <w:p w14:paraId="6FD1B46F" w14:textId="77777777" w:rsidR="00020A75" w:rsidRPr="001511A5" w:rsidRDefault="001511A5">
            <w:pPr>
              <w:spacing w:after="40"/>
              <w:rPr>
                <w:lang w:val="en-US"/>
              </w:rPr>
            </w:pPr>
            <w:r w:rsidRPr="001511A5">
              <w:rPr>
                <w:sz w:val="20"/>
                <w:szCs w:val="20"/>
                <w:lang w:val="en-US"/>
              </w:rPr>
              <w:t>Christopher Bethancourt Contreras</w:t>
            </w:r>
          </w:p>
          <w:p w14:paraId="5B040121" w14:textId="77777777" w:rsidR="00020A75" w:rsidRPr="001511A5" w:rsidRDefault="00020A75">
            <w:pPr>
              <w:spacing w:after="40"/>
              <w:rPr>
                <w:lang w:val="en-US"/>
              </w:rPr>
            </w:pPr>
          </w:p>
          <w:p w14:paraId="43AC441A" w14:textId="77777777" w:rsidR="00020A75" w:rsidRDefault="001511A5">
            <w:pPr>
              <w:spacing w:after="40"/>
            </w:pPr>
            <w:r>
              <w:rPr>
                <w:sz w:val="20"/>
                <w:szCs w:val="20"/>
              </w:rPr>
              <w:t>Francisco Mora Ruiz</w:t>
            </w:r>
          </w:p>
        </w:tc>
        <w:tc>
          <w:tcPr>
            <w:tcW w:w="368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BD6F9D" w14:textId="77777777" w:rsidR="00020A75" w:rsidRDefault="001511A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Matrícula</w:t>
            </w:r>
            <w:r>
              <w:rPr>
                <w:sz w:val="20"/>
                <w:szCs w:val="20"/>
              </w:rPr>
              <w:t>:</w:t>
            </w:r>
          </w:p>
          <w:p w14:paraId="786FAF86" w14:textId="77777777" w:rsidR="00020A75" w:rsidRDefault="00020A75">
            <w:pPr>
              <w:spacing w:after="40"/>
            </w:pPr>
          </w:p>
          <w:p w14:paraId="6FADB18C" w14:textId="77777777" w:rsidR="00020A75" w:rsidRDefault="001511A5">
            <w:pPr>
              <w:spacing w:after="40"/>
            </w:pPr>
            <w:r>
              <w:rPr>
                <w:sz w:val="20"/>
                <w:szCs w:val="20"/>
              </w:rPr>
              <w:t>2226958</w:t>
            </w:r>
          </w:p>
          <w:p w14:paraId="75812A16" w14:textId="77777777" w:rsidR="00020A75" w:rsidRDefault="00020A75">
            <w:pPr>
              <w:spacing w:after="40"/>
            </w:pPr>
          </w:p>
          <w:p w14:paraId="77389349" w14:textId="77777777" w:rsidR="00020A75" w:rsidRDefault="001511A5">
            <w:pPr>
              <w:spacing w:after="40"/>
            </w:pPr>
            <w:r>
              <w:rPr>
                <w:sz w:val="20"/>
                <w:szCs w:val="20"/>
              </w:rPr>
              <w:t>2226948</w:t>
            </w:r>
          </w:p>
          <w:p w14:paraId="50775D1E" w14:textId="77777777" w:rsidR="00020A75" w:rsidRDefault="00020A75">
            <w:pPr>
              <w:spacing w:after="40"/>
            </w:pPr>
          </w:p>
          <w:p w14:paraId="0E3C1CA5" w14:textId="77777777" w:rsidR="00020A75" w:rsidRDefault="001511A5">
            <w:pPr>
              <w:spacing w:after="40"/>
            </w:pPr>
            <w:r>
              <w:rPr>
                <w:sz w:val="20"/>
                <w:szCs w:val="20"/>
              </w:rPr>
              <w:t>2226912</w:t>
            </w:r>
          </w:p>
        </w:tc>
      </w:tr>
      <w:tr w:rsidR="00020A75" w14:paraId="7C65AFE7" w14:textId="77777777">
        <w:tc>
          <w:tcPr>
            <w:tcW w:w="6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4272B3" w14:textId="77777777" w:rsidR="00020A75" w:rsidRDefault="001511A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Nombre del curso:</w:t>
            </w:r>
            <w:r>
              <w:rPr>
                <w:sz w:val="20"/>
                <w:szCs w:val="20"/>
              </w:rPr>
              <w:t xml:space="preserve"> Componentes de lógica de negocios.</w:t>
            </w:r>
          </w:p>
        </w:tc>
        <w:tc>
          <w:tcPr>
            <w:tcW w:w="368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373E80" w14:textId="77777777" w:rsidR="00020A75" w:rsidRDefault="001511A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Nombre del profesor</w:t>
            </w:r>
            <w:r>
              <w:rPr>
                <w:sz w:val="20"/>
                <w:szCs w:val="20"/>
              </w:rPr>
              <w:t>: Miguel Ángel Gómez Marroquín</w:t>
            </w:r>
          </w:p>
        </w:tc>
      </w:tr>
      <w:tr w:rsidR="00020A75" w14:paraId="46A415E1" w14:textId="77777777">
        <w:tc>
          <w:tcPr>
            <w:tcW w:w="6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1A3756" w14:textId="77777777" w:rsidR="00020A75" w:rsidRDefault="001511A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Modulo Netacad</w:t>
            </w:r>
            <w:r>
              <w:rPr>
                <w:sz w:val="20"/>
                <w:szCs w:val="20"/>
              </w:rPr>
              <w:t>: 5</w:t>
            </w:r>
          </w:p>
        </w:tc>
        <w:tc>
          <w:tcPr>
            <w:tcW w:w="368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C9D959" w14:textId="77777777" w:rsidR="00020A75" w:rsidRDefault="001511A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Actividad</w:t>
            </w:r>
            <w:r>
              <w:rPr>
                <w:sz w:val="20"/>
                <w:szCs w:val="20"/>
              </w:rPr>
              <w:t>: Guía de pendientes · Actividad 5 (Unidad 5)</w:t>
            </w:r>
          </w:p>
        </w:tc>
      </w:tr>
      <w:tr w:rsidR="00020A75" w14:paraId="2B98560A" w14:textId="77777777">
        <w:tc>
          <w:tcPr>
            <w:tcW w:w="10080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E83DD2" w14:textId="77777777" w:rsidR="00020A75" w:rsidRDefault="001511A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Fecha</w:t>
            </w:r>
            <w:r>
              <w:rPr>
                <w:sz w:val="20"/>
                <w:szCs w:val="20"/>
              </w:rPr>
              <w:t>: 28/10/2026</w:t>
            </w:r>
          </w:p>
        </w:tc>
      </w:tr>
      <w:tr w:rsidR="00020A75" w14:paraId="3C99DDD3" w14:textId="77777777">
        <w:tc>
          <w:tcPr>
            <w:tcW w:w="10080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2992AE" w14:textId="77777777" w:rsidR="00020A75" w:rsidRDefault="001511A5">
            <w:pPr>
              <w:spacing w:after="40"/>
            </w:pPr>
            <w:proofErr w:type="spellStart"/>
            <w:r>
              <w:rPr>
                <w:b/>
                <w:bCs/>
                <w:sz w:val="20"/>
                <w:szCs w:val="20"/>
              </w:rPr>
              <w:t>Bibliografia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(Formato APA)</w:t>
            </w:r>
          </w:p>
          <w:p w14:paraId="6BECD6E7" w14:textId="77777777" w:rsidR="00020A75" w:rsidRDefault="001511A5">
            <w:pPr>
              <w:pStyle w:val="Prrafodelista"/>
              <w:numPr>
                <w:ilvl w:val="0"/>
                <w:numId w:val="2"/>
              </w:numPr>
              <w:spacing w:after="50" w:line="250" w:lineRule="auto"/>
            </w:pPr>
            <w:r w:rsidRPr="001511A5">
              <w:rPr>
                <w:sz w:val="19"/>
                <w:szCs w:val="19"/>
                <w:lang w:val="en-US"/>
              </w:rPr>
              <w:t xml:space="preserve">GitHub. (s.f.). </w:t>
            </w:r>
            <w:r w:rsidRPr="001511A5">
              <w:rPr>
                <w:i/>
                <w:iCs/>
                <w:sz w:val="19"/>
                <w:szCs w:val="19"/>
                <w:lang w:val="en-US"/>
              </w:rPr>
              <w:t>Workflow syntax</w:t>
            </w:r>
            <w:r w:rsidRPr="001511A5">
              <w:rPr>
                <w:sz w:val="19"/>
                <w:szCs w:val="19"/>
                <w:lang w:val="en-US"/>
              </w:rPr>
              <w:t>. GitHub Docs. https://docs.github.com/en/actions/reference/workflows-and-actions/workflow-syntax</w:t>
            </w:r>
            <w:r>
              <w:rPr>
                <w:sz w:val="19"/>
                <w:szCs w:val="19"/>
              </w:rPr>
            </w:r>
          </w:p>
          <w:p w14:paraId="6BECD6E7" w14:textId="77777777" w:rsidR="00020A75" w:rsidRDefault="001511A5">
            <w:pPr>
              <w:pStyle w:val="Prrafodelista"/>
              <w:numPr>
                <w:ilvl w:val="0"/>
                <w:numId w:val="2"/>
              </w:numPr>
              <w:spacing w:after="50" w:line="250" w:lineRule="auto"/>
            </w:pPr>
            <w:r w:rsidRPr="001511A5">
              <w:rPr>
                <w:sz w:val="19"/>
                <w:szCs w:val="19"/>
                <w:lang w:val="en-US"/>
              </w:rPr>
              <w:t xml:space="preserve">Componentes de Lógica de Negocios. (2026). </w:t>
            </w:r>
            <w:r w:rsidRPr="001511A5">
              <w:rPr>
                <w:i/>
                <w:iCs/>
                <w:sz w:val="19"/>
                <w:szCs w:val="19"/>
                <w:lang w:val="en-US"/>
              </w:rPr>
              <w:t>Laboratorio guiado Unidad 5: Integración, pruebas y calidad</w:t>
            </w:r>
            <w:r w:rsidRPr="001511A5">
              <w:rPr>
                <w:sz w:val="19"/>
                <w:szCs w:val="19"/>
                <w:lang w:val="en-US"/>
              </w:rPr>
              <w:t xml:space="preserve"> [Material del curso]. Facultad de Ingeniería Mecánica y Eléctrica, UANL.</w:t>
            </w:r>
            <w:r>
              <w:rPr>
                <w:sz w:val="19"/>
                <w:szCs w:val="19"/>
              </w:rPr>
            </w:r>
          </w:p>
        </w:tc>
      </w:tr>
    </w:tbl>
    <w:p>
      <w:pPr>
        <w:keepNext/>
        <w:spacing w:before="120" w:after="80" w:line="276" w:lineRule="auto"/>
      </w:pPr>
      <w:r>
        <w:rPr>
          <w:b/>
        </w:rPr>
        <w:t>Objetivo:</w:t>
      </w:r>
    </w:p>
    <w:p>
      <w:pPr>
        <w:spacing w:before="0" w:after="120" w:line="276" w:lineRule="auto"/>
        <w:jc w:val="both"/>
      </w:pPr>
      <w:r>
        <w:t>Explicar, paso a paso, lo que el equipo debe hacer personalmente para cerrar la Actividad 5 después de las correcciones automáticas del 28/10/2026: lo que requiere su cuenta de GitHub, su computadora, su repositorio de Eventos Nova o su revisión.</w:t>
      </w:r>
    </w:p>
    <w:p>
      <w:pPr>
        <w:keepNext/>
        <w:spacing w:before="120" w:after="80" w:line="276" w:lineRule="auto"/>
      </w:pPr>
      <w:r>
        <w:rPr>
          <w:b/>
        </w:rPr>
        <w:t>Procedimiento:</w:t>
      </w:r>
    </w:p>
    <w:p>
      <w:pPr>
        <w:spacing w:before="80" w:after="40" w:line="276" w:lineRule="auto"/>
      </w:pPr>
      <w:r>
        <w:rPr>
          <w:b/>
          <w:color w:val="1F3864"/>
          <w:sz w:val="28"/>
        </w:rPr>
        <w:t>GUÍA DE PENDIENTES Y EJECUCIÓN MANUAL</w:t>
      </w:r>
    </w:p>
    <w:p>
      <w:pPr>
        <w:spacing w:before="0" w:after="200" w:line="276" w:lineRule="auto"/>
      </w:pPr>
      <w:r>
        <w:rPr>
          <w:sz w:val="22"/>
        </w:rPr>
        <w:t>Actividad 5 · Integración, Pruebas y Calidad · Para el Equipo 16</w:t>
      </w:r>
    </w:p>
    <w:p>
      <w:pPr>
        <w:pStyle w:val="Ttulo1"/>
        <w:keepNext/>
      </w:pPr>
      <w:r>
        <w:t>1. Qué ya está resuelto y qué falta</w:t>
      </w:r>
    </w:p>
    <w:p>
      <w:pPr>
        <w:spacing w:before="0" w:after="120" w:line="276" w:lineRule="auto"/>
        <w:jc w:val="both"/>
      </w:pPr>
      <w:r>
        <w:t xml:space="preserve">Ya está hecho y verificado en una copia limpia del ZIP v2 (sección 6): el laboratorio pasa (69 pruebas aprobadas, 1 </w:t>
      </w:r>
      <w:r>
        <w:rPr>
          <w:rFonts w:ascii="Consolas" w:hAnsi="Consolas" w:eastAsia="Consolas"/>
          <w:sz w:val="18"/>
        </w:rPr>
        <w:t>xfail</w:t>
      </w:r>
      <w:r>
        <w:t xml:space="preserve"> documentado, Ruff sin errores, 100 % de cobertura); las pruebas de Eventos Nova se ejecutan contra el código real (22 aprobadas); las matrices coinciden con la ejecución final; la bitácora de IA y el reporte están actualizados.</w:t>
      </w:r>
    </w:p>
    <w:p>
      <w:pPr>
        <w:spacing w:before="0" w:after="120" w:line="276" w:lineRule="auto"/>
        <w:jc w:val="both"/>
      </w:pPr>
      <w:r>
        <w:t xml:space="preserve">Lo que sigue </w:t>
      </w:r>
      <w:r>
        <w:rPr>
          <w:b/>
        </w:rPr>
        <w:t>no se puede hacer desde el entorno de la IA</w:t>
      </w:r>
      <w:r>
        <w:t xml:space="preserve"> porque requiere la cuenta de GitHub del equipo, su computadora, su repositorio real de Eventos Nova o una decisión o revisión humana. La tabla de la siguiente página lo resume; las secciones 3 a 6 dan los pasos completos.</w:t>
      </w:r>
    </w:p>
    <w:p>
      <w:pPr>
        <w:sectPr>
          <w:headerReference w:type="default" r:id="rId13"/>
          <w:footerReference w:type="default" r:id="rId14"/>
          <w:pgSz w:w="12240" w:h="15840"/>
          <w:pgMar w:top="1900" w:right="1080" w:bottom="1300" w:left="1080" w:header="500" w:footer="450" w:gutter="0"/>
          <w:cols w:space="720"/>
          <w:docGrid w:linePitch="360"/>
        </w:sectPr>
      </w:pPr>
    </w:p>
    <w:p>
      <w:pPr>
        <w:pStyle w:val="Ttulo1"/>
        <w:keepNext/>
      </w:pPr>
      <w:r>
        <w:t>2. Tabla resumen de pendientes</w:t>
      </w:r>
    </w:p>
    <w:p>
      <w:pPr>
        <w:keepNext/>
        <w:spacing w:before="160" w:after="60" w:line="276" w:lineRule="auto"/>
        <w:jc w:val="center"/>
      </w:pPr>
      <w:r>
        <w:rPr>
          <w:b/>
          <w:sz w:val="19"/>
        </w:rPr>
        <w:t xml:space="preserve">Tabla 1. </w:t>
      </w:r>
      <w:r>
        <w:rPr>
          <w:sz w:val="19"/>
        </w:rPr>
        <w:t>Pendientes del equipo</w:t>
      </w:r>
    </w:p>
    <w:tbl>
      <w:tblPr>
        <w:tblStyle w:val="Tabladecuadrcula4-nfasis11"/>
        <w:tblW w:type="dxa" w:w="13676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72"/>
        <w:gridCol w:w="1366"/>
        <w:gridCol w:w="1479"/>
        <w:gridCol w:w="1082"/>
        <w:gridCol w:w="1479"/>
        <w:gridCol w:w="2392"/>
        <w:gridCol w:w="1655"/>
        <w:gridCol w:w="1309"/>
        <w:gridCol w:w="1196"/>
        <w:gridCol w:w="1139"/>
      </w:tblGrid>
      <w:tr>
        <w:trPr>
          <w:tblHeader w:val="true"/>
          <w:cantSplit w:val="true"/>
        </w:trPr>
        <w:tc>
          <w:tcPr>
            <w:tcW w:type="dxa" w:w="573"/>
          </w:tcPr>
          <w:p>
            <w:pPr>
              <w:jc w:val="center"/>
            </w:pPr>
            <w:r/>
            <w:r>
              <w:rPr>
                <w:b/>
                <w:sz w:val="13"/>
              </w:rPr>
              <w:t>ID</w:t>
            </w:r>
          </w:p>
        </w:tc>
        <w:tc>
          <w:tcPr>
            <w:tcW w:type="dxa" w:w="1366"/>
          </w:tcPr>
          <w:p>
            <w:pPr>
              <w:jc w:val="center"/>
            </w:pPr>
            <w:r/>
            <w:r>
              <w:rPr>
                <w:b/>
                <w:sz w:val="13"/>
              </w:rPr>
              <w:t>Pendiente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b/>
                <w:sz w:val="13"/>
              </w:rPr>
              <w:t>Por qué es necesario</w:t>
            </w:r>
          </w:p>
        </w:tc>
        <w:tc>
          <w:tcPr>
            <w:tcW w:type="dxa" w:w="1083"/>
          </w:tcPr>
          <w:p>
            <w:pPr>
              <w:jc w:val="center"/>
            </w:pPr>
            <w:r/>
            <w:r>
              <w:rPr>
                <w:b/>
                <w:sz w:val="13"/>
              </w:rPr>
              <w:t>Responsable</w:t>
            </w:r>
          </w:p>
        </w:tc>
        <w:tc>
          <w:tcPr>
            <w:tcW w:type="dxa" w:w="1480"/>
          </w:tcPr>
          <w:p>
            <w:pPr>
              <w:jc w:val="center"/>
            </w:pPr>
            <w:r/>
            <w:r>
              <w:rPr>
                <w:b/>
                <w:sz w:val="13"/>
              </w:rPr>
              <w:t>Archivos</w:t>
            </w:r>
          </w:p>
        </w:tc>
        <w:tc>
          <w:tcPr>
            <w:tcW w:type="dxa" w:w="2392"/>
          </w:tcPr>
          <w:p>
            <w:pPr>
              <w:jc w:val="center"/>
            </w:pPr>
            <w:r/>
            <w:r>
              <w:rPr>
                <w:b/>
                <w:sz w:val="13"/>
              </w:rPr>
              <w:t>Pasos exactos</w:t>
            </w:r>
          </w:p>
        </w:tc>
        <w:tc>
          <w:tcPr>
            <w:tcW w:type="dxa" w:w="1655"/>
          </w:tcPr>
          <w:p>
            <w:pPr>
              <w:jc w:val="center"/>
            </w:pPr>
            <w:r/>
            <w:r>
              <w:rPr>
                <w:b/>
                <w:sz w:val="13"/>
              </w:rPr>
              <w:t>Comando o acción</w:t>
            </w:r>
          </w:p>
        </w:tc>
        <w:tc>
          <w:tcPr>
            <w:tcW w:type="dxa" w:w="1310"/>
          </w:tcPr>
          <w:p>
            <w:pPr>
              <w:jc w:val="center"/>
            </w:pPr>
            <w:r/>
            <w:r>
              <w:rPr>
                <w:b/>
                <w:sz w:val="13"/>
              </w:rPr>
              <w:t>Resultado esperado</w:t>
            </w:r>
          </w:p>
        </w:tc>
        <w:tc>
          <w:tcPr>
            <w:tcW w:type="dxa" w:w="1196"/>
          </w:tcPr>
          <w:p>
            <w:pPr>
              <w:jc w:val="center"/>
            </w:pPr>
            <w:r/>
            <w:r>
              <w:rPr>
                <w:b/>
                <w:sz w:val="13"/>
              </w:rPr>
              <w:t>Evidencia a guardar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b/>
                <w:sz w:val="13"/>
              </w:rPr>
              <w:t>Completado cuando</w:t>
            </w:r>
          </w:p>
        </w:tc>
      </w:tr>
      <w:tr>
        <w:trPr>
          <w:cantSplit w:val="true"/>
        </w:trPr>
        <w:tc>
          <w:tcPr>
            <w:tcW w:type="dxa" w:w="573"/>
          </w:tcPr>
          <w:p>
            <w:pPr>
              <w:spacing w:after="20"/>
            </w:pPr>
            <w:r/>
            <w:r>
              <w:rPr>
                <w:sz w:val="13"/>
              </w:rPr>
              <w:t>P-01</w:t>
            </w:r>
          </w:p>
        </w:tc>
        <w:tc>
          <w:tcPr>
            <w:tcW w:type="dxa" w:w="1366"/>
          </w:tcPr>
          <w:p>
            <w:pPr>
              <w:spacing w:after="20"/>
            </w:pPr>
            <w:r/>
            <w:r>
              <w:rPr>
                <w:sz w:val="13"/>
              </w:rPr>
              <w:t>Revisar la bitácora de IA</w:t>
            </w:r>
          </w:p>
        </w:tc>
        <w:tc>
          <w:tcPr>
            <w:tcW w:type="dxa" w:w="1480"/>
          </w:tcPr>
          <w:p>
            <w:pPr>
              <w:spacing w:after="20"/>
            </w:pPr>
            <w:r/>
            <w:r>
              <w:rPr>
                <w:sz w:val="13"/>
              </w:rPr>
              <w:t>La guía pide demostrar que el equipo no aceptó la IA sin revisar</w:t>
            </w:r>
          </w:p>
        </w:tc>
        <w:tc>
          <w:tcPr>
            <w:tcW w:type="dxa" w:w="1083"/>
          </w:tcPr>
          <w:p>
            <w:pPr>
              <w:spacing w:after="20"/>
            </w:pPr>
            <w:r/>
            <w:r>
              <w:rPr>
                <w:sz w:val="13"/>
              </w:rPr>
              <w:t>Cada integrante</w:t>
            </w:r>
          </w:p>
        </w:tc>
        <w:tc>
          <w:tcPr>
            <w:tcW w:type="dxa" w:w="1480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sz w:val="13"/>
              </w:rPr>
              <w:t>docs/BITACORA_IA_ACTIVIDAD5.docx</w:t>
            </w:r>
            <w:r>
              <w:rPr>
                <w:sz w:val="13"/>
              </w:rPr>
              <w:t xml:space="preserve">, </w:t>
            </w:r>
            <w:r>
              <w:rPr>
                <w:rFonts w:ascii="Consolas" w:hAnsi="Consolas" w:eastAsia="Consolas"/>
                <w:sz w:val="13"/>
              </w:rPr>
              <w:t>bitacora_uso_IA.md</w:t>
            </w:r>
          </w:p>
        </w:tc>
        <w:tc>
          <w:tcPr>
            <w:tcW w:type="dxa" w:w="2392"/>
          </w:tcPr>
          <w:p>
            <w:pPr>
              <w:spacing w:after="20"/>
            </w:pPr>
            <w:r/>
            <w:r>
              <w:rPr>
                <w:sz w:val="13"/>
              </w:rPr>
              <w:t>Leer las fichas (secc. 8), abrir el registro citado, responder las 9 preguntas y marcar su columna (secc. 9)</w:t>
            </w:r>
          </w:p>
        </w:tc>
        <w:tc>
          <w:tcPr>
            <w:tcW w:type="dxa" w:w="1655"/>
          </w:tcPr>
          <w:p>
            <w:pPr>
              <w:spacing w:after="20"/>
            </w:pPr>
            <w:r/>
            <w:r>
              <w:rPr>
                <w:sz w:val="13"/>
              </w:rPr>
              <w:t xml:space="preserve">Editar el DOCX y la columna del </w:t>
            </w:r>
            <w:r>
              <w:rPr>
                <w:rFonts w:ascii="Consolas" w:hAnsi="Consolas" w:eastAsia="Consolas"/>
                <w:sz w:val="13"/>
              </w:rPr>
              <w:t>.md</w:t>
            </w:r>
          </w:p>
        </w:tc>
        <w:tc>
          <w:tcPr>
            <w:tcW w:type="dxa" w:w="1310"/>
          </w:tcPr>
          <w:p>
            <w:pPr>
              <w:spacing w:after="20"/>
            </w:pPr>
            <w:r/>
            <w:r>
              <w:rPr>
                <w:sz w:val="13"/>
              </w:rPr>
              <w:t>Las tres columnas marcadas</w:t>
            </w:r>
          </w:p>
        </w:tc>
        <w:tc>
          <w:tcPr>
            <w:tcW w:type="dxa" w:w="1196"/>
          </w:tcPr>
          <w:p>
            <w:pPr>
              <w:spacing w:after="20"/>
            </w:pPr>
            <w:r/>
            <w:r>
              <w:rPr>
                <w:sz w:val="13"/>
              </w:rPr>
              <w:t>DOCX con las columnas llenas</w:t>
            </w:r>
          </w:p>
        </w:tc>
        <w:tc>
          <w:tcPr>
            <w:tcW w:type="dxa" w:w="1140"/>
          </w:tcPr>
          <w:p>
            <w:pPr>
              <w:spacing w:after="20"/>
            </w:pPr>
            <w:r/>
            <w:r>
              <w:rPr>
                <w:sz w:val="13"/>
              </w:rPr>
              <w:t>Ninguna casilla «Pendiente»</w:t>
            </w:r>
          </w:p>
        </w:tc>
      </w:tr>
      <w:tr>
        <w:trPr>
          <w:cantSplit w:val="true"/>
        </w:trPr>
        <w:tc>
          <w:tcPr>
            <w:tcW w:type="dxa" w:w="573"/>
          </w:tcPr>
          <w:p>
            <w:pPr>
              <w:spacing w:after="20"/>
            </w:pPr>
            <w:r/>
            <w:r>
              <w:rPr>
                <w:sz w:val="13"/>
              </w:rPr>
              <w:t>P-02</w:t>
            </w:r>
          </w:p>
        </w:tc>
        <w:tc>
          <w:tcPr>
            <w:tcW w:type="dxa" w:w="1366"/>
          </w:tcPr>
          <w:p>
            <w:pPr>
              <w:spacing w:after="20"/>
            </w:pPr>
            <w:r/>
            <w:r>
              <w:rPr>
                <w:sz w:val="13"/>
              </w:rPr>
              <w:t>Revisar las conclusiones individuales</w:t>
            </w:r>
          </w:p>
        </w:tc>
        <w:tc>
          <w:tcPr>
            <w:tcW w:type="dxa" w:w="1480"/>
          </w:tcPr>
          <w:p>
            <w:pPr>
              <w:spacing w:after="20"/>
            </w:pPr>
            <w:r/>
            <w:r>
              <w:rPr>
                <w:sz w:val="13"/>
              </w:rPr>
              <w:t>Son texto propuesto, no escrito por cada integrante</w:t>
            </w:r>
          </w:p>
        </w:tc>
        <w:tc>
          <w:tcPr>
            <w:tcW w:type="dxa" w:w="1083"/>
          </w:tcPr>
          <w:p>
            <w:pPr>
              <w:spacing w:after="20"/>
            </w:pPr>
            <w:r/>
            <w:r>
              <w:rPr>
                <w:sz w:val="13"/>
              </w:rPr>
              <w:t>Cada integrante</w:t>
            </w:r>
          </w:p>
        </w:tc>
        <w:tc>
          <w:tcPr>
            <w:tcW w:type="dxa" w:w="1480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sz w:val="13"/>
              </w:rPr>
              <w:t>docs/REPORTE_ACTIVIDAD5.docx</w:t>
            </w:r>
            <w:r>
              <w:rPr>
                <w:sz w:val="13"/>
              </w:rPr>
              <w:t>, secc. 9</w:t>
            </w:r>
          </w:p>
        </w:tc>
        <w:tc>
          <w:tcPr>
            <w:tcW w:type="dxa" w:w="2392"/>
          </w:tcPr>
          <w:p>
            <w:pPr>
              <w:spacing w:after="20"/>
            </w:pPr>
            <w:r/>
            <w:r>
              <w:rPr>
                <w:sz w:val="13"/>
              </w:rPr>
              <w:t>Reescribir su párrafo; quitar la nota «Texto propuesto»</w:t>
            </w:r>
          </w:p>
        </w:tc>
        <w:tc>
          <w:tcPr>
            <w:tcW w:type="dxa" w:w="1655"/>
          </w:tcPr>
          <w:p>
            <w:pPr>
              <w:spacing w:after="20"/>
            </w:pPr>
            <w:r/>
            <w:r>
              <w:rPr>
                <w:sz w:val="13"/>
              </w:rPr>
              <w:t>Editar en Word</w:t>
            </w:r>
          </w:p>
        </w:tc>
        <w:tc>
          <w:tcPr>
            <w:tcW w:type="dxa" w:w="1310"/>
          </w:tcPr>
          <w:p>
            <w:pPr>
              <w:spacing w:after="20"/>
            </w:pPr>
            <w:r/>
            <w:r>
              <w:rPr>
                <w:sz w:val="13"/>
              </w:rPr>
              <w:t>Tres párrafos propios</w:t>
            </w:r>
          </w:p>
        </w:tc>
        <w:tc>
          <w:tcPr>
            <w:tcW w:type="dxa" w:w="1196"/>
          </w:tcPr>
          <w:p>
            <w:pPr>
              <w:spacing w:after="20"/>
            </w:pPr>
            <w:r/>
            <w:r>
              <w:rPr>
                <w:sz w:val="13"/>
              </w:rPr>
              <w:t>DOCX guardado</w:t>
            </w:r>
          </w:p>
        </w:tc>
        <w:tc>
          <w:tcPr>
            <w:tcW w:type="dxa" w:w="1140"/>
          </w:tcPr>
          <w:p>
            <w:pPr>
              <w:spacing w:after="20"/>
            </w:pPr>
            <w:r/>
            <w:r>
              <w:rPr>
                <w:sz w:val="13"/>
              </w:rPr>
              <w:t>La nota ya no aparece</w:t>
            </w:r>
          </w:p>
        </w:tc>
      </w:tr>
      <w:tr>
        <w:trPr>
          <w:cantSplit w:val="true"/>
        </w:trPr>
        <w:tc>
          <w:tcPr>
            <w:tcW w:type="dxa" w:w="573"/>
          </w:tcPr>
          <w:p>
            <w:pPr>
              <w:spacing w:after="20"/>
            </w:pPr>
            <w:r/>
            <w:r>
              <w:rPr>
                <w:sz w:val="13"/>
              </w:rPr>
              <w:t>P-03</w:t>
            </w:r>
          </w:p>
        </w:tc>
        <w:tc>
          <w:tcPr>
            <w:tcW w:type="dxa" w:w="1366"/>
          </w:tcPr>
          <w:p>
            <w:pPr>
              <w:spacing w:after="20"/>
            </w:pPr>
            <w:r/>
            <w:r>
              <w:rPr>
                <w:sz w:val="13"/>
              </w:rPr>
              <w:t>E8: GitHub Actions verde → rojo → verde</w:t>
            </w:r>
          </w:p>
        </w:tc>
        <w:tc>
          <w:tcPr>
            <w:tcW w:type="dxa" w:w="1480"/>
          </w:tcPr>
          <w:p>
            <w:pPr>
              <w:spacing w:after="20"/>
            </w:pPr>
            <w:r/>
            <w:r>
              <w:rPr>
                <w:sz w:val="13"/>
              </w:rPr>
              <w:t>E8 exige ejecuciones reales; aquí solo hubo simulación local</w:t>
            </w:r>
          </w:p>
        </w:tc>
        <w:tc>
          <w:tcPr>
            <w:tcW w:type="dxa" w:w="1083"/>
          </w:tcPr>
          <w:p>
            <w:pPr>
              <w:spacing w:after="20"/>
            </w:pPr>
            <w:r/>
            <w:r>
              <w:rPr>
                <w:sz w:val="13"/>
              </w:rPr>
              <w:t>Quien administre el repositorio</w:t>
            </w:r>
          </w:p>
        </w:tc>
        <w:tc>
          <w:tcPr>
            <w:tcW w:type="dxa" w:w="1480"/>
          </w:tcPr>
          <w:p>
            <w:pPr>
              <w:spacing w:after="20"/>
            </w:pPr>
            <w:r/>
            <w:r>
              <w:rPr>
                <w:sz w:val="13"/>
              </w:rPr>
              <w:t xml:space="preserve">Carpeta del laboratorio, </w:t>
            </w:r>
            <w:r>
              <w:rPr>
                <w:rFonts w:ascii="Consolas" w:hAnsi="Consolas" w:eastAsia="Consolas"/>
                <w:sz w:val="13"/>
              </w:rPr>
              <w:t>.github/workflows/ci.yml</w:t>
            </w:r>
          </w:p>
        </w:tc>
        <w:tc>
          <w:tcPr>
            <w:tcW w:type="dxa" w:w="2392"/>
          </w:tcPr>
          <w:p>
            <w:pPr>
              <w:spacing w:after="20"/>
            </w:pPr>
            <w:r/>
            <w:r>
              <w:rPr>
                <w:sz w:val="13"/>
              </w:rPr>
              <w:t>Sección 3 de esta guía</w:t>
            </w:r>
          </w:p>
        </w:tc>
        <w:tc>
          <w:tcPr>
            <w:tcW w:type="dxa" w:w="1655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sz w:val="13"/>
              </w:rPr>
              <w:t>git push</w:t>
            </w:r>
            <w:r>
              <w:rPr>
                <w:sz w:val="13"/>
              </w:rPr>
              <w:t xml:space="preserve">, </w:t>
            </w:r>
            <w:r>
              <w:rPr>
                <w:rFonts w:ascii="Consolas" w:hAnsi="Consolas" w:eastAsia="Consolas"/>
                <w:sz w:val="13"/>
              </w:rPr>
              <w:t>git revert</w:t>
            </w:r>
          </w:p>
        </w:tc>
        <w:tc>
          <w:tcPr>
            <w:tcW w:type="dxa" w:w="1310"/>
          </w:tcPr>
          <w:p>
            <w:pPr>
              <w:spacing w:after="20"/>
            </w:pPr>
            <w:r/>
            <w:r>
              <w:rPr>
                <w:sz w:val="13"/>
              </w:rPr>
              <w:t>Tres ejecuciones: verde, roja, verde</w:t>
            </w:r>
          </w:p>
        </w:tc>
        <w:tc>
          <w:tcPr>
            <w:tcW w:type="dxa" w:w="1196"/>
          </w:tcPr>
          <w:p>
            <w:pPr>
              <w:spacing w:after="20"/>
            </w:pPr>
            <w:r/>
            <w:r>
              <w:rPr>
                <w:sz w:val="13"/>
              </w:rPr>
              <w:t>Capturas de Actions y URL</w:t>
            </w:r>
          </w:p>
        </w:tc>
        <w:tc>
          <w:tcPr>
            <w:tcW w:type="dxa" w:w="1140"/>
          </w:tcPr>
          <w:p>
            <w:pPr>
              <w:spacing w:after="20"/>
            </w:pPr>
            <w:r/>
            <w:r>
              <w:rPr>
                <w:sz w:val="13"/>
              </w:rPr>
              <w:t>Tres capturas y URL en el reporte</w:t>
            </w:r>
          </w:p>
        </w:tc>
      </w:tr>
      <w:tr>
        <w:trPr>
          <w:cantSplit w:val="true"/>
        </w:trPr>
        <w:tc>
          <w:tcPr>
            <w:tcW w:type="dxa" w:w="573"/>
          </w:tcPr>
          <w:p>
            <w:pPr>
              <w:spacing w:after="20"/>
            </w:pPr>
            <w:r/>
            <w:r>
              <w:rPr>
                <w:sz w:val="13"/>
              </w:rPr>
              <w:t>P-04</w:t>
            </w:r>
          </w:p>
        </w:tc>
        <w:tc>
          <w:tcPr>
            <w:tcW w:type="dxa" w:w="1366"/>
          </w:tcPr>
          <w:p>
            <w:pPr>
              <w:spacing w:after="20"/>
            </w:pPr>
            <w:r/>
            <w:r>
              <w:rPr>
                <w:sz w:val="13"/>
              </w:rPr>
              <w:t>Actualizar el reporte con E8</w:t>
            </w:r>
          </w:p>
        </w:tc>
        <w:tc>
          <w:tcPr>
            <w:tcW w:type="dxa" w:w="1480"/>
          </w:tcPr>
          <w:p>
            <w:pPr>
              <w:spacing w:after="20"/>
            </w:pPr>
            <w:r/>
            <w:r>
              <w:rPr>
                <w:sz w:val="13"/>
              </w:rPr>
              <w:t>El reporte marca E8 y la URL como pendientes</w:t>
            </w:r>
          </w:p>
        </w:tc>
        <w:tc>
          <w:tcPr>
            <w:tcW w:type="dxa" w:w="1083"/>
          </w:tcPr>
          <w:p>
            <w:pPr>
              <w:spacing w:after="20"/>
            </w:pPr>
            <w:r/>
            <w:r>
              <w:rPr>
                <w:sz w:val="13"/>
              </w:rPr>
              <w:t>Quien edite el reporte</w:t>
            </w:r>
          </w:p>
        </w:tc>
        <w:tc>
          <w:tcPr>
            <w:tcW w:type="dxa" w:w="1480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sz w:val="13"/>
              </w:rPr>
              <w:t>docs/REPORTE_ACTIVIDAD5.docx</w:t>
            </w:r>
          </w:p>
        </w:tc>
        <w:tc>
          <w:tcPr>
            <w:tcW w:type="dxa" w:w="2392"/>
          </w:tcPr>
          <w:p>
            <w:pPr>
              <w:spacing w:after="20"/>
            </w:pPr>
            <w:r/>
            <w:r>
              <w:rPr>
                <w:sz w:val="13"/>
              </w:rPr>
              <w:t>Insertar capturas, anotar URL en secc. 10, cambiar «Pendiente» en Tabla 8 y exportar PDF</w:t>
            </w:r>
          </w:p>
        </w:tc>
        <w:tc>
          <w:tcPr>
            <w:tcW w:type="dxa" w:w="1655"/>
          </w:tcPr>
          <w:p>
            <w:pPr>
              <w:spacing w:after="20"/>
            </w:pPr>
            <w:r/>
            <w:r>
              <w:rPr>
                <w:sz w:val="13"/>
              </w:rPr>
              <w:t>Word → Guardar como PDF</w:t>
            </w:r>
          </w:p>
        </w:tc>
        <w:tc>
          <w:tcPr>
            <w:tcW w:type="dxa" w:w="1310"/>
          </w:tcPr>
          <w:p>
            <w:pPr>
              <w:spacing w:after="20"/>
            </w:pPr>
            <w:r/>
            <w:r>
              <w:rPr>
                <w:sz w:val="13"/>
              </w:rPr>
              <w:t>DOCX y PDF coherentes</w:t>
            </w:r>
          </w:p>
        </w:tc>
        <w:tc>
          <w:tcPr>
            <w:tcW w:type="dxa" w:w="1196"/>
          </w:tcPr>
          <w:p>
            <w:pPr>
              <w:spacing w:after="20"/>
            </w:pPr>
            <w:r/>
            <w:r>
              <w:rPr>
                <w:sz w:val="13"/>
              </w:rPr>
              <w:t>PDF nuevo</w:t>
            </w:r>
          </w:p>
        </w:tc>
        <w:tc>
          <w:tcPr>
            <w:tcW w:type="dxa" w:w="1140"/>
          </w:tcPr>
          <w:p>
            <w:pPr>
              <w:spacing w:after="20"/>
            </w:pPr>
            <w:r/>
            <w:r>
              <w:rPr>
                <w:sz w:val="13"/>
              </w:rPr>
              <w:t>PDF con URL y capturas</w:t>
            </w:r>
          </w:p>
        </w:tc>
      </w:tr>
      <w:tr>
        <w:trPr>
          <w:cantSplit w:val="true"/>
        </w:trPr>
        <w:tc>
          <w:tcPr>
            <w:tcW w:type="dxa" w:w="573"/>
          </w:tcPr>
          <w:p>
            <w:pPr>
              <w:spacing w:after="20"/>
            </w:pPr>
            <w:r/>
            <w:r>
              <w:rPr>
                <w:sz w:val="13"/>
              </w:rPr>
              <w:t>P-05</w:t>
            </w:r>
          </w:p>
        </w:tc>
        <w:tc>
          <w:tcPr>
            <w:tcW w:type="dxa" w:w="1366"/>
          </w:tcPr>
          <w:p>
            <w:pPr>
              <w:spacing w:after="20"/>
            </w:pPr>
            <w:r/>
            <w:r>
              <w:rPr>
                <w:sz w:val="13"/>
              </w:rPr>
              <w:t xml:space="preserve">Integrar </w:t>
            </w:r>
            <w:r>
              <w:rPr>
                <w:rFonts w:ascii="Consolas" w:hAnsi="Consolas" w:eastAsia="Consolas"/>
                <w:sz w:val="13"/>
              </w:rPr>
              <w:t>tests_u5</w:t>
            </w:r>
            <w:r>
              <w:rPr>
                <w:sz w:val="13"/>
              </w:rPr>
              <w:t xml:space="preserve"> y el parche U5-H1 en el repositorio del PIA</w:t>
            </w:r>
          </w:p>
        </w:tc>
        <w:tc>
          <w:tcPr>
            <w:tcW w:type="dxa" w:w="1480"/>
          </w:tcPr>
          <w:p>
            <w:pPr>
              <w:spacing w:after="20"/>
            </w:pPr>
            <w:r/>
            <w:r>
              <w:rPr>
                <w:sz w:val="13"/>
              </w:rPr>
              <w:t>Solo están en la copia del ZIP</w:t>
            </w:r>
          </w:p>
        </w:tc>
        <w:tc>
          <w:tcPr>
            <w:tcW w:type="dxa" w:w="1083"/>
          </w:tcPr>
          <w:p>
            <w:pPr>
              <w:spacing w:after="20"/>
            </w:pPr>
            <w:r/>
            <w:r>
              <w:rPr>
                <w:sz w:val="13"/>
              </w:rPr>
              <w:t>Responsable del repositorio del PIA</w:t>
            </w:r>
          </w:p>
        </w:tc>
        <w:tc>
          <w:tcPr>
            <w:tcW w:type="dxa" w:w="1480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sz w:val="13"/>
              </w:rPr>
              <w:t>tests_u5/</w:t>
            </w:r>
            <w:r>
              <w:rPr>
                <w:sz w:val="13"/>
              </w:rPr>
              <w:t xml:space="preserve">, </w:t>
            </w:r>
            <w:r>
              <w:rPr>
                <w:rFonts w:ascii="Consolas" w:hAnsi="Consolas" w:eastAsia="Consolas"/>
                <w:sz w:val="13"/>
              </w:rPr>
              <w:t>pytest.ini</w:t>
            </w:r>
            <w:r>
              <w:rPr>
                <w:sz w:val="13"/>
              </w:rPr>
              <w:t xml:space="preserve">, </w:t>
            </w:r>
            <w:r>
              <w:rPr>
                <w:rFonts w:ascii="Consolas" w:hAnsi="Consolas" w:eastAsia="Consolas"/>
                <w:sz w:val="13"/>
              </w:rPr>
              <w:t>PARCHE_U5H1_consulta_proveedores.patch</w:t>
            </w:r>
          </w:p>
        </w:tc>
        <w:tc>
          <w:tcPr>
            <w:tcW w:type="dxa" w:w="2392"/>
          </w:tcPr>
          <w:p>
            <w:pPr>
              <w:spacing w:after="20"/>
            </w:pPr>
            <w:r/>
            <w:r>
              <w:rPr>
                <w:sz w:val="13"/>
              </w:rPr>
              <w:t>Sección 4 de esta guía</w:t>
            </w:r>
          </w:p>
        </w:tc>
        <w:tc>
          <w:tcPr>
            <w:tcW w:type="dxa" w:w="1655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sz w:val="13"/>
              </w:rPr>
              <w:t>git apply</w:t>
            </w:r>
            <w:r>
              <w:rPr>
                <w:sz w:val="13"/>
              </w:rPr>
              <w:t xml:space="preserve">, </w:t>
            </w:r>
            <w:r>
              <w:rPr>
                <w:rFonts w:ascii="Consolas" w:hAnsi="Consolas" w:eastAsia="Consolas"/>
                <w:sz w:val="13"/>
              </w:rPr>
              <w:t>pytest</w:t>
            </w:r>
            <w:r>
              <w:rPr>
                <w:sz w:val="13"/>
              </w:rPr>
              <w:t xml:space="preserve">, </w:t>
            </w:r>
            <w:r>
              <w:rPr>
                <w:rFonts w:ascii="Consolas" w:hAnsi="Consolas" w:eastAsia="Consolas"/>
                <w:sz w:val="13"/>
              </w:rPr>
              <w:t>git commit</w:t>
            </w:r>
          </w:p>
        </w:tc>
        <w:tc>
          <w:tcPr>
            <w:tcW w:type="dxa" w:w="1310"/>
          </w:tcPr>
          <w:p>
            <w:pPr>
              <w:spacing w:after="20"/>
            </w:pPr>
            <w:r/>
            <w:r>
              <w:rPr>
                <w:sz w:val="13"/>
              </w:rPr>
              <w:t>22 aprobadas en su repositorio</w:t>
            </w:r>
          </w:p>
        </w:tc>
        <w:tc>
          <w:tcPr>
            <w:tcW w:type="dxa" w:w="1196"/>
          </w:tcPr>
          <w:p>
            <w:pPr>
              <w:spacing w:after="20"/>
            </w:pPr>
            <w:r/>
            <w:r>
              <w:rPr>
                <w:sz w:val="13"/>
              </w:rPr>
              <w:t>Salida de pytest guardada</w:t>
            </w:r>
          </w:p>
        </w:tc>
        <w:tc>
          <w:tcPr>
            <w:tcW w:type="dxa" w:w="1140"/>
          </w:tcPr>
          <w:p>
            <w:pPr>
              <w:spacing w:after="20"/>
            </w:pPr>
            <w:r/>
            <w:r>
              <w:rPr>
                <w:sz w:val="13"/>
              </w:rPr>
              <w:t>Commit con las pruebas</w:t>
            </w:r>
          </w:p>
        </w:tc>
      </w:tr>
      <w:tr>
        <w:trPr>
          <w:cantSplit w:val="true"/>
        </w:trPr>
        <w:tc>
          <w:tcPr>
            <w:tcW w:type="dxa" w:w="573"/>
          </w:tcPr>
          <w:p>
            <w:pPr>
              <w:spacing w:after="20"/>
            </w:pPr>
            <w:r/>
            <w:r>
              <w:rPr>
                <w:sz w:val="13"/>
              </w:rPr>
              <w:t>P-06</w:t>
            </w:r>
          </w:p>
        </w:tc>
        <w:tc>
          <w:tcPr>
            <w:tcW w:type="dxa" w:w="1366"/>
          </w:tcPr>
          <w:p>
            <w:pPr>
              <w:spacing w:after="20"/>
            </w:pPr>
            <w:r/>
            <w:r>
              <w:rPr>
                <w:sz w:val="13"/>
              </w:rPr>
              <w:t>Ejecutar las pruebas del PIA en su entorno</w:t>
            </w:r>
          </w:p>
        </w:tc>
        <w:tc>
          <w:tcPr>
            <w:tcW w:type="dxa" w:w="1480"/>
          </w:tcPr>
          <w:p>
            <w:pPr>
              <w:spacing w:after="20"/>
            </w:pPr>
            <w:r/>
            <w:r>
              <w:rPr>
                <w:sz w:val="13"/>
              </w:rPr>
              <w:t>Aquí se usó Linux y PostgreSQL 16; el equipo usa Windows y PostgreSQL 18</w:t>
            </w:r>
          </w:p>
        </w:tc>
        <w:tc>
          <w:tcPr>
            <w:tcW w:type="dxa" w:w="1083"/>
          </w:tcPr>
          <w:p>
            <w:pPr>
              <w:spacing w:after="20"/>
            </w:pPr>
            <w:r/>
            <w:r>
              <w:rPr>
                <w:sz w:val="13"/>
              </w:rPr>
              <w:t>Responsable del PIA</w:t>
            </w:r>
          </w:p>
        </w:tc>
        <w:tc>
          <w:tcPr>
            <w:tcW w:type="dxa" w:w="1480"/>
          </w:tcPr>
          <w:p>
            <w:pPr>
              <w:spacing w:after="20"/>
            </w:pPr>
            <w:r/>
            <w:r>
              <w:rPr>
                <w:sz w:val="13"/>
              </w:rPr>
              <w:t xml:space="preserve">Repositorio del PIA, </w:t>
            </w:r>
            <w:r>
              <w:rPr>
                <w:rFonts w:ascii="Consolas" w:hAnsi="Consolas" w:eastAsia="Consolas"/>
                <w:sz w:val="13"/>
              </w:rPr>
              <w:t>.env</w:t>
            </w:r>
          </w:p>
        </w:tc>
        <w:tc>
          <w:tcPr>
            <w:tcW w:type="dxa" w:w="2392"/>
          </w:tcPr>
          <w:p>
            <w:pPr>
              <w:spacing w:after="20"/>
            </w:pPr>
            <w:r/>
            <w:r>
              <w:rPr>
                <w:sz w:val="13"/>
              </w:rPr>
              <w:t>Sección 4.3</w:t>
            </w:r>
          </w:p>
        </w:tc>
        <w:tc>
          <w:tcPr>
            <w:tcW w:type="dxa" w:w="1655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sz w:val="13"/>
              </w:rPr>
              <w:t>python -m pytest -v -rxX</w:t>
            </w:r>
            <w:r>
              <w:rPr>
                <w:sz w:val="13"/>
              </w:rPr>
              <w:t xml:space="preserve">; </w:t>
            </w:r>
            <w:r>
              <w:rPr>
                <w:rFonts w:ascii="Consolas" w:hAnsi="Consolas" w:eastAsia="Consolas"/>
                <w:sz w:val="13"/>
              </w:rPr>
              <w:t>unittest</w:t>
            </w:r>
          </w:p>
        </w:tc>
        <w:tc>
          <w:tcPr>
            <w:tcW w:type="dxa" w:w="1310"/>
          </w:tcPr>
          <w:p>
            <w:pPr>
              <w:spacing w:after="20"/>
            </w:pPr>
            <w:r/>
            <w:r>
              <w:rPr>
                <w:sz w:val="13"/>
              </w:rPr>
              <w:t>22 aprobadas; 1 306 pruebas del equipo</w:t>
            </w:r>
          </w:p>
        </w:tc>
        <w:tc>
          <w:tcPr>
            <w:tcW w:type="dxa" w:w="1196"/>
          </w:tcPr>
          <w:p>
            <w:pPr>
              <w:spacing w:after="20"/>
            </w:pPr>
            <w:r/>
            <w:r>
              <w:rPr>
                <w:sz w:val="13"/>
              </w:rPr>
              <w:t>Salidas guardadas</w:t>
            </w:r>
          </w:p>
        </w:tc>
        <w:tc>
          <w:tcPr>
            <w:tcW w:type="dxa" w:w="1140"/>
          </w:tcPr>
          <w:p>
            <w:pPr>
              <w:spacing w:after="20"/>
            </w:pPr>
            <w:r/>
            <w:r>
              <w:rPr>
                <w:sz w:val="13"/>
              </w:rPr>
              <w:t>Sin fallos inesperados</w:t>
            </w:r>
          </w:p>
        </w:tc>
      </w:tr>
      <w:tr>
        <w:trPr>
          <w:cantSplit w:val="true"/>
        </w:trPr>
        <w:tc>
          <w:tcPr>
            <w:tcW w:type="dxa" w:w="573"/>
          </w:tcPr>
          <w:p>
            <w:pPr>
              <w:spacing w:after="20"/>
            </w:pPr>
            <w:r/>
            <w:r>
              <w:rPr>
                <w:sz w:val="13"/>
              </w:rPr>
              <w:t>P-07</w:t>
            </w:r>
          </w:p>
        </w:tc>
        <w:tc>
          <w:tcPr>
            <w:tcW w:type="dxa" w:w="1366"/>
          </w:tcPr>
          <w:p>
            <w:pPr>
              <w:spacing w:after="20"/>
            </w:pPr>
            <w:r/>
            <w:r>
              <w:rPr>
                <w:sz w:val="13"/>
              </w:rPr>
              <w:t xml:space="preserve">Confirmar el fallo </w:t>
            </w:r>
            <w:r>
              <w:rPr>
                <w:rFonts w:ascii="Consolas" w:hAnsi="Consolas" w:eastAsia="Consolas"/>
                <w:sz w:val="13"/>
              </w:rPr>
              <w:t>test_openapi_exportada</w:t>
            </w:r>
          </w:p>
        </w:tc>
        <w:tc>
          <w:tcPr>
            <w:tcW w:type="dxa" w:w="1480"/>
          </w:tcPr>
          <w:p>
            <w:pPr>
              <w:spacing w:after="20"/>
            </w:pPr>
            <w:r/>
            <w:r>
              <w:rPr>
                <w:sz w:val="13"/>
              </w:rPr>
              <w:t>Puede ser solo la versión de Pydantic</w:t>
            </w:r>
          </w:p>
        </w:tc>
        <w:tc>
          <w:tcPr>
            <w:tcW w:type="dxa" w:w="1083"/>
          </w:tcPr>
          <w:p>
            <w:pPr>
              <w:spacing w:after="20"/>
            </w:pPr>
            <w:r/>
            <w:r>
              <w:rPr>
                <w:sz w:val="13"/>
              </w:rPr>
              <w:t>Responsable del PIA</w:t>
            </w:r>
          </w:p>
        </w:tc>
        <w:tc>
          <w:tcPr>
            <w:tcW w:type="dxa" w:w="1480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sz w:val="13"/>
              </w:rPr>
              <w:t>docs/api/openapi.json</w:t>
            </w:r>
          </w:p>
        </w:tc>
        <w:tc>
          <w:tcPr>
            <w:tcW w:type="dxa" w:w="2392"/>
          </w:tcPr>
          <w:p>
            <w:pPr>
              <w:spacing w:after="20"/>
            </w:pPr>
            <w:r/>
            <w:r>
              <w:rPr>
                <w:sz w:val="13"/>
              </w:rPr>
              <w:t>Ejecutar esa prueba en su entorno</w:t>
            </w:r>
          </w:p>
        </w:tc>
        <w:tc>
          <w:tcPr>
            <w:tcW w:type="dxa" w:w="1655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sz w:val="13"/>
              </w:rPr>
              <w:t>python -m unittest tests.test_openapi_exportada</w:t>
            </w:r>
          </w:p>
        </w:tc>
        <w:tc>
          <w:tcPr>
            <w:tcW w:type="dxa" w:w="1310"/>
          </w:tcPr>
          <w:p>
            <w:pPr>
              <w:spacing w:after="20"/>
            </w:pPr>
            <w:r/>
            <w:r>
              <w:rPr>
                <w:sz w:val="13"/>
              </w:rPr>
              <w:t>Pasa con su versión (2.14.1)</w:t>
            </w:r>
          </w:p>
        </w:tc>
        <w:tc>
          <w:tcPr>
            <w:tcW w:type="dxa" w:w="1196"/>
          </w:tcPr>
          <w:p>
            <w:pPr>
              <w:spacing w:after="20"/>
            </w:pPr>
            <w:r/>
            <w:r>
              <w:rPr>
                <w:sz w:val="13"/>
              </w:rPr>
              <w:t>Salida</w:t>
            </w:r>
          </w:p>
        </w:tc>
        <w:tc>
          <w:tcPr>
            <w:tcW w:type="dxa" w:w="1140"/>
          </w:tcPr>
          <w:p>
            <w:pPr>
              <w:spacing w:after="20"/>
            </w:pPr>
            <w:r/>
            <w:r>
              <w:rPr>
                <w:sz w:val="13"/>
              </w:rPr>
              <w:t>Prueba aprobada o decisión tomada</w:t>
            </w:r>
          </w:p>
        </w:tc>
      </w:tr>
      <w:tr>
        <w:trPr>
          <w:cantSplit w:val="true"/>
        </w:trPr>
        <w:tc>
          <w:tcPr>
            <w:tcW w:type="dxa" w:w="573"/>
          </w:tcPr>
          <w:p>
            <w:pPr>
              <w:spacing w:after="20"/>
            </w:pPr>
            <w:r/>
            <w:r>
              <w:rPr>
                <w:sz w:val="13"/>
              </w:rPr>
              <w:t>P-08</w:t>
            </w:r>
          </w:p>
        </w:tc>
        <w:tc>
          <w:tcPr>
            <w:tcW w:type="dxa" w:w="1366"/>
          </w:tcPr>
          <w:p>
            <w:pPr>
              <w:spacing w:after="20"/>
            </w:pPr>
            <w:r/>
            <w:r>
              <w:rPr>
                <w:sz w:val="13"/>
              </w:rPr>
              <w:t>Decidir D-1 a D-5</w:t>
            </w:r>
          </w:p>
        </w:tc>
        <w:tc>
          <w:tcPr>
            <w:tcW w:type="dxa" w:w="1480"/>
          </w:tcPr>
          <w:p>
            <w:pPr>
              <w:spacing w:after="20"/>
            </w:pPr>
            <w:r/>
            <w:r>
              <w:rPr>
                <w:sz w:val="13"/>
              </w:rPr>
              <w:t>Son decisiones del equipo, no de la IA</w:t>
            </w:r>
          </w:p>
        </w:tc>
        <w:tc>
          <w:tcPr>
            <w:tcW w:type="dxa" w:w="1083"/>
          </w:tcPr>
          <w:p>
            <w:pPr>
              <w:spacing w:after="20"/>
            </w:pPr>
            <w:r/>
            <w:r>
              <w:rPr>
                <w:sz w:val="13"/>
              </w:rPr>
              <w:t>Todo el equipo</w:t>
            </w:r>
          </w:p>
        </w:tc>
        <w:tc>
          <w:tcPr>
            <w:tcW w:type="dxa" w:w="1480"/>
          </w:tcPr>
          <w:p>
            <w:pPr>
              <w:spacing w:after="20"/>
            </w:pPr>
            <w:r/>
            <w:r>
              <w:rPr>
                <w:sz w:val="13"/>
              </w:rPr>
              <w:t>Bitácora, secc. 7</w:t>
            </w:r>
          </w:p>
        </w:tc>
        <w:tc>
          <w:tcPr>
            <w:tcW w:type="dxa" w:w="2392"/>
          </w:tcPr>
          <w:p>
            <w:pPr>
              <w:spacing w:after="20"/>
            </w:pPr>
            <w:r/>
            <w:r>
              <w:rPr>
                <w:sz w:val="13"/>
              </w:rPr>
              <w:t>Discutir y anotar la decisión</w:t>
            </w:r>
          </w:p>
        </w:tc>
        <w:tc>
          <w:tcPr>
            <w:tcW w:type="dxa" w:w="1655"/>
          </w:tcPr>
          <w:p>
            <w:pPr>
              <w:spacing w:after="20"/>
            </w:pPr>
            <w:r/>
            <w:r>
              <w:rPr>
                <w:sz w:val="13"/>
              </w:rPr>
              <w:t>Reunión breve</w:t>
            </w:r>
          </w:p>
        </w:tc>
        <w:tc>
          <w:tcPr>
            <w:tcW w:type="dxa" w:w="1310"/>
          </w:tcPr>
          <w:p>
            <w:pPr>
              <w:spacing w:after="20"/>
            </w:pPr>
            <w:r/>
            <w:r>
              <w:rPr>
                <w:sz w:val="13"/>
              </w:rPr>
              <w:t>Decisión escrita</w:t>
            </w:r>
          </w:p>
        </w:tc>
        <w:tc>
          <w:tcPr>
            <w:tcW w:type="dxa" w:w="1196"/>
          </w:tcPr>
          <w:p>
            <w:pPr>
              <w:spacing w:after="20"/>
            </w:pPr>
            <w:r/>
            <w:r>
              <w:rPr>
                <w:sz w:val="13"/>
              </w:rPr>
              <w:t>Bitácora actualizada</w:t>
            </w:r>
          </w:p>
        </w:tc>
        <w:tc>
          <w:tcPr>
            <w:tcW w:type="dxa" w:w="1140"/>
          </w:tcPr>
          <w:p>
            <w:pPr>
              <w:spacing w:after="20"/>
            </w:pPr>
            <w:r/>
            <w:r>
              <w:rPr>
                <w:sz w:val="13"/>
              </w:rPr>
              <w:t>Columna «Aprobación» llena</w:t>
            </w:r>
          </w:p>
        </w:tc>
      </w:tr>
      <w:tr>
        <w:trPr>
          <w:cantSplit w:val="true"/>
        </w:trPr>
        <w:tc>
          <w:tcPr>
            <w:tcW w:type="dxa" w:w="573"/>
          </w:tcPr>
          <w:p>
            <w:pPr>
              <w:spacing w:after="20"/>
            </w:pPr>
            <w:r/>
            <w:r>
              <w:rPr>
                <w:sz w:val="13"/>
              </w:rPr>
              <w:t>P-09</w:t>
            </w:r>
          </w:p>
        </w:tc>
        <w:tc>
          <w:tcPr>
            <w:tcW w:type="dxa" w:w="1366"/>
          </w:tcPr>
          <w:p>
            <w:pPr>
              <w:spacing w:after="20"/>
            </w:pPr>
            <w:r/>
            <w:r>
              <w:rPr>
                <w:sz w:val="13"/>
              </w:rPr>
              <w:t>Plantilla de la Actividad 4 (opcional)</w:t>
            </w:r>
          </w:p>
        </w:tc>
        <w:tc>
          <w:tcPr>
            <w:tcW w:type="dxa" w:w="1480"/>
          </w:tcPr>
          <w:p>
            <w:pPr>
              <w:spacing w:after="20"/>
            </w:pPr>
            <w:r/>
            <w:r>
              <w:rPr>
                <w:sz w:val="13"/>
              </w:rPr>
              <w:t xml:space="preserve">No se recibió </w:t>
            </w:r>
            <w:r>
              <w:rPr>
                <w:rFonts w:ascii="Consolas" w:hAnsi="Consolas" w:eastAsia="Consolas"/>
                <w:sz w:val="13"/>
              </w:rPr>
              <w:t>Reporte_Actividad4_TechStore.docx</w:t>
            </w:r>
          </w:p>
        </w:tc>
        <w:tc>
          <w:tcPr>
            <w:tcW w:type="dxa" w:w="1083"/>
          </w:tcPr>
          <w:p>
            <w:pPr>
              <w:spacing w:after="20"/>
            </w:pPr>
            <w:r/>
            <w:r>
              <w:rPr>
                <w:sz w:val="13"/>
              </w:rPr>
              <w:t>Quien la tenga</w:t>
            </w:r>
          </w:p>
        </w:tc>
        <w:tc>
          <w:tcPr>
            <w:tcW w:type="dxa" w:w="1480"/>
          </w:tcPr>
          <w:p>
            <w:pPr>
              <w:spacing w:after="20"/>
            </w:pPr>
            <w:r/>
            <w:r>
              <w:rPr>
                <w:sz w:val="13"/>
              </w:rPr>
              <w:t>Ese archivo</w:t>
            </w:r>
          </w:p>
        </w:tc>
        <w:tc>
          <w:tcPr>
            <w:tcW w:type="dxa" w:w="2392"/>
          </w:tcPr>
          <w:p>
            <w:pPr>
              <w:spacing w:after="20"/>
            </w:pPr>
            <w:r/>
            <w:r>
              <w:rPr>
                <w:sz w:val="13"/>
              </w:rPr>
              <w:t>Comparar formato; ajustar si el profesor exige el mismo</w:t>
            </w:r>
          </w:p>
        </w:tc>
        <w:tc>
          <w:tcPr>
            <w:tcW w:type="dxa" w:w="1655"/>
          </w:tcPr>
          <w:p>
            <w:pPr>
              <w:spacing w:after="20"/>
            </w:pPr>
            <w:r/>
            <w:r>
              <w:rPr>
                <w:sz w:val="13"/>
              </w:rPr>
              <w:t>—</w:t>
            </w:r>
          </w:p>
        </w:tc>
        <w:tc>
          <w:tcPr>
            <w:tcW w:type="dxa" w:w="1310"/>
          </w:tcPr>
          <w:p>
            <w:pPr>
              <w:spacing w:after="20"/>
            </w:pPr>
            <w:r/>
            <w:r>
              <w:rPr>
                <w:sz w:val="13"/>
              </w:rPr>
              <w:t>Formato confirmado</w:t>
            </w:r>
          </w:p>
        </w:tc>
        <w:tc>
          <w:tcPr>
            <w:tcW w:type="dxa" w:w="1196"/>
          </w:tcPr>
          <w:p>
            <w:pPr>
              <w:spacing w:after="20"/>
            </w:pPr>
            <w:r/>
            <w:r>
              <w:rPr>
                <w:sz w:val="13"/>
              </w:rPr>
              <w:t>—</w:t>
            </w:r>
          </w:p>
        </w:tc>
        <w:tc>
          <w:tcPr>
            <w:tcW w:type="dxa" w:w="1140"/>
          </w:tcPr>
          <w:p>
            <w:pPr>
              <w:spacing w:after="20"/>
            </w:pPr>
            <w:r/>
            <w:r>
              <w:rPr>
                <w:sz w:val="13"/>
              </w:rPr>
              <w:t>Formato aceptado</w:t>
            </w:r>
          </w:p>
        </w:tc>
      </w:tr>
      <w:tr>
        <w:trPr>
          <w:cantSplit w:val="true"/>
        </w:trPr>
        <w:tc>
          <w:tcPr>
            <w:tcW w:type="dxa" w:w="573"/>
          </w:tcPr>
          <w:p>
            <w:pPr>
              <w:spacing w:after="20"/>
            </w:pPr>
            <w:r/>
            <w:r>
              <w:rPr>
                <w:sz w:val="13"/>
              </w:rPr>
              <w:t>P-10</w:t>
            </w:r>
          </w:p>
        </w:tc>
        <w:tc>
          <w:tcPr>
            <w:tcW w:type="dxa" w:w="1366"/>
          </w:tcPr>
          <w:p>
            <w:pPr>
              <w:spacing w:after="20"/>
            </w:pPr>
            <w:r/>
            <w:r>
              <w:rPr>
                <w:sz w:val="13"/>
              </w:rPr>
              <w:t>Comprobación final</w:t>
            </w:r>
          </w:p>
        </w:tc>
        <w:tc>
          <w:tcPr>
            <w:tcW w:type="dxa" w:w="1480"/>
          </w:tcPr>
          <w:p>
            <w:pPr>
              <w:spacing w:after="20"/>
            </w:pPr>
            <w:r/>
            <w:r>
              <w:rPr>
                <w:sz w:val="13"/>
              </w:rPr>
              <w:t>Evitar entregar archivos incompletos o con credenciales</w:t>
            </w:r>
          </w:p>
        </w:tc>
        <w:tc>
          <w:tcPr>
            <w:tcW w:type="dxa" w:w="1083"/>
          </w:tcPr>
          <w:p>
            <w:pPr>
              <w:spacing w:after="20"/>
            </w:pPr>
            <w:r/>
            <w:r>
              <w:rPr>
                <w:sz w:val="13"/>
              </w:rPr>
              <w:t>Quien entregue</w:t>
            </w:r>
          </w:p>
        </w:tc>
        <w:tc>
          <w:tcPr>
            <w:tcW w:type="dxa" w:w="1480"/>
          </w:tcPr>
          <w:p>
            <w:pPr>
              <w:spacing w:after="20"/>
            </w:pPr>
            <w:r/>
            <w:r>
              <w:rPr>
                <w:sz w:val="13"/>
              </w:rPr>
              <w:t>ZIP final</w:t>
            </w:r>
          </w:p>
        </w:tc>
        <w:tc>
          <w:tcPr>
            <w:tcW w:type="dxa" w:w="2392"/>
          </w:tcPr>
          <w:p>
            <w:pPr>
              <w:spacing w:after="20"/>
            </w:pPr>
            <w:r/>
            <w:r>
              <w:rPr>
                <w:sz w:val="13"/>
              </w:rPr>
              <w:t>Sección 6</w:t>
            </w:r>
          </w:p>
        </w:tc>
        <w:tc>
          <w:tcPr>
            <w:tcW w:type="dxa" w:w="1655"/>
          </w:tcPr>
          <w:p>
            <w:pPr>
              <w:spacing w:after="20"/>
            </w:pPr>
            <w:r/>
            <w:r>
              <w:rPr>
                <w:sz w:val="13"/>
              </w:rPr>
              <w:t>Extraer y ejecutar</w:t>
            </w:r>
          </w:p>
        </w:tc>
        <w:tc>
          <w:tcPr>
            <w:tcW w:type="dxa" w:w="1310"/>
          </w:tcPr>
          <w:p>
            <w:pPr>
              <w:spacing w:after="20"/>
            </w:pPr>
            <w:r/>
            <w:r>
              <w:rPr>
                <w:sz w:val="13"/>
              </w:rPr>
              <w:t>Todo coincide</w:t>
            </w:r>
          </w:p>
        </w:tc>
        <w:tc>
          <w:tcPr>
            <w:tcW w:type="dxa" w:w="1196"/>
          </w:tcPr>
          <w:p>
            <w:pPr>
              <w:spacing w:after="20"/>
            </w:pPr>
            <w:r/>
            <w:r>
              <w:rPr>
                <w:sz w:val="13"/>
              </w:rPr>
              <w:t>Lista marcada</w:t>
            </w:r>
          </w:p>
        </w:tc>
        <w:tc>
          <w:tcPr>
            <w:tcW w:type="dxa" w:w="1140"/>
          </w:tcPr>
          <w:p>
            <w:pPr>
              <w:spacing w:after="20"/>
            </w:pPr>
            <w:r/>
            <w:r>
              <w:rPr>
                <w:sz w:val="13"/>
              </w:rPr>
              <w:t>Lista completa</w:t>
            </w:r>
          </w:p>
        </w:tc>
      </w:tr>
    </w:tbl>
    <w:p>
      <w:pPr>
        <w:spacing w:before="0" w:after="40" w:line="276" w:lineRule="auto"/>
        <w:jc w:val="both"/>
      </w:pPr>
    </w:p>
    <w:p>
      <w:pPr>
        <w:sectPr>
          <w:footerReference w:type="default" r:id="rId18"/>
          <w:pgSz w:w="15840" w:h="12240" w:orient="landscape"/>
          <w:pgMar w:top="1900" w:right="1080" w:bottom="1300" w:left="1080" w:header="500" w:footer="450" w:gutter="0"/>
          <w:cols w:space="720"/>
          <w:docGrid w:linePitch="360"/>
        </w:sectPr>
      </w:pPr>
    </w:p>
    <w:p>
      <w:pPr>
        <w:pStyle w:val="Ttulo1"/>
        <w:keepNext/>
      </w:pPr>
      <w:r>
        <w:t>3. P-03: completar E8 con GitHub Actions (Windows PowerShell)</w:t>
      </w:r>
    </w:p>
    <w:p>
      <w:pPr>
        <w:spacing w:before="0" w:after="120" w:line="276" w:lineRule="auto"/>
        <w:jc w:val="both"/>
      </w:pPr>
      <w:r>
        <w:t>Se ejecuta en la computadora de quien administre el repositorio, con Git instalado y una cuenta de GitHub. No hace falta Python para que GitHub ejecute el workflow, pero sí para probar en local antes de enviar.</w:t>
      </w:r>
    </w:p>
    <w:p>
      <w:pPr>
        <w:pStyle w:val="Ttulo2"/>
        <w:keepNext/>
      </w:pPr>
      <w:r>
        <w:t>3.1 Abrir la carpeta correcta y revisar el estado</w:t>
      </w:r>
    </w:p>
    <w:p>
      <w:pPr>
        <w:spacing w:before="40" w:after="160" w:line="240" w:lineRule="auto"/>
        <w:shd w:val="clear" w:color="auto" w:fill="F2F4F7"/>
        <w:ind w:left="170" w:right="170"/>
      </w:pPr>
      <w:r>
        <w:rPr>
          <w:rFonts w:ascii="Consolas" w:hAnsi="Consolas" w:eastAsia="Consolas"/>
          <w:sz w:val="17"/>
        </w:rPr>
        <w:t># Abra PowerShell en la carpeta donde extrajo el ZIP v2 (ajuste la ruta):</w:t>
        <w:br/>
      </w:r>
      <w:r>
        <w:rPr>
          <w:rFonts w:ascii="Consolas" w:hAnsi="Consolas" w:eastAsia="Consolas"/>
          <w:sz w:val="17"/>
        </w:rPr>
        <w:t>cd "C:\Users\&lt;usuario&gt;\Downloads\Actividad5_CLN_Equipo16_v2\Actividad5_CLN_Equipo16"</w:t>
        <w:br/>
      </w:r>
      <w:r>
        <w:rPr>
          <w:rFonts w:ascii="Consolas" w:hAnsi="Consolas" w:eastAsia="Consolas"/>
          <w:sz w:val="17"/>
        </w:rPr>
        <w:t>git --version                       # si falla, instale Git para Windows</w:t>
        <w:br/>
      </w:r>
      <w:r>
        <w:rPr>
          <w:rFonts w:ascii="Consolas" w:hAnsi="Consolas" w:eastAsia="Consolas"/>
          <w:sz w:val="17"/>
        </w:rPr>
        <w:t>git status                          # ¿dice "On branch main"?</w:t>
        <w:br/>
      </w:r>
      <w:r>
        <w:rPr>
          <w:rFonts w:ascii="Consolas" w:hAnsi="Consolas" w:eastAsia="Consolas"/>
          <w:sz w:val="17"/>
        </w:rPr>
        <w:t>git log --oneline -5                # deben verse los commits de la actividad</w:t>
      </w:r>
    </w:p>
    <w:p>
      <w:pPr>
        <w:spacing w:before="0" w:after="120" w:line="276" w:lineRule="auto"/>
        <w:jc w:val="both"/>
      </w:pPr>
      <w:r>
        <w:t xml:space="preserve">Si </w:t>
      </w:r>
      <w:r>
        <w:rPr>
          <w:rFonts w:ascii="Consolas" w:hAnsi="Consolas" w:eastAsia="Consolas"/>
          <w:sz w:val="18"/>
        </w:rPr>
        <w:t>git status</w:t>
      </w:r>
      <w:r>
        <w:t xml:space="preserve"> responde «not a git repository» (por ejemplo, si copiaron solo los archivos), inicialícelo:</w:t>
      </w:r>
    </w:p>
    <w:p>
      <w:pPr>
        <w:spacing w:before="40" w:after="160" w:line="240" w:lineRule="auto"/>
        <w:shd w:val="clear" w:color="auto" w:fill="F2F4F7"/>
        <w:ind w:left="170" w:right="170"/>
      </w:pPr>
      <w:r>
        <w:rPr>
          <w:rFonts w:ascii="Consolas" w:hAnsi="Consolas" w:eastAsia="Consolas"/>
          <w:sz w:val="17"/>
        </w:rPr>
        <w:t>git init -b main</w:t>
        <w:br/>
      </w:r>
      <w:r>
        <w:rPr>
          <w:rFonts w:ascii="Consolas" w:hAnsi="Consolas" w:eastAsia="Consolas"/>
          <w:sz w:val="17"/>
        </w:rPr>
        <w:t>git add .</w:t>
        <w:br/>
      </w:r>
      <w:r>
        <w:rPr>
          <w:rFonts w:ascii="Consolas" w:hAnsi="Consolas" w:eastAsia="Consolas"/>
          <w:sz w:val="17"/>
        </w:rPr>
        <w:t>git commit -m "Actividad 5: laboratorio U5 con pruebas y CI"</w:t>
      </w:r>
    </w:p>
    <w:p>
      <w:pPr>
        <w:spacing w:before="0" w:after="120" w:line="276" w:lineRule="auto"/>
        <w:jc w:val="both"/>
      </w:pPr>
      <w:r>
        <w:t xml:space="preserve">Configure su identidad si Git la pide (use sus propios datos): </w:t>
      </w:r>
      <w:r>
        <w:rPr>
          <w:rFonts w:ascii="Consolas" w:hAnsi="Consolas" w:eastAsia="Consolas"/>
          <w:sz w:val="18"/>
        </w:rPr>
        <w:t>git config user.name "Nombre Apellido"</w:t>
      </w:r>
      <w:r>
        <w:t xml:space="preserve"> y </w:t>
      </w:r>
      <w:r>
        <w:rPr>
          <w:rFonts w:ascii="Consolas" w:hAnsi="Consolas" w:eastAsia="Consolas"/>
          <w:sz w:val="18"/>
        </w:rPr>
        <w:t>git config user.email "correo@ejemplo.com"</w:t>
      </w:r>
      <w:r>
        <w:t>.</w:t>
      </w:r>
    </w:p>
    <w:p>
      <w:pPr>
        <w:pStyle w:val="Ttulo2"/>
        <w:keepNext/>
      </w:pPr>
      <w:r>
        <w:t>3.2 Verificar el workflow antes de enviarlo</w:t>
      </w:r>
    </w:p>
    <w:p>
      <w:pPr>
        <w:spacing w:before="40" w:after="160" w:line="240" w:lineRule="auto"/>
        <w:shd w:val="clear" w:color="auto" w:fill="F2F4F7"/>
        <w:ind w:left="170" w:right="170"/>
      </w:pPr>
      <w:r>
        <w:rPr>
          <w:rFonts w:ascii="Consolas" w:hAnsi="Consolas" w:eastAsia="Consolas"/>
          <w:sz w:val="17"/>
        </w:rPr>
        <w:t>Get-Content .github\workflows\ci.yml       # etapas: Ruff, pytest con --cov-fail-under=80, compileall</w:t>
        <w:br/>
      </w:r>
      <w:r>
        <w:rPr>
          <w:rFonts w:ascii="Consolas" w:hAnsi="Consolas" w:eastAsia="Consolas"/>
          <w:sz w:val="17"/>
        </w:rPr>
        <w:t>py -3.11 -m venv .venv ; .\.venv\Scripts\Activate.ps1</w:t>
        <w:br/>
      </w:r>
      <w:r>
        <w:rPr>
          <w:rFonts w:ascii="Consolas" w:hAnsi="Consolas" w:eastAsia="Consolas"/>
          <w:sz w:val="17"/>
        </w:rPr>
        <w:t>python -m pip install -r requirements.txt</w:t>
        <w:br/>
      </w:r>
      <w:r>
        <w:rPr>
          <w:rFonts w:ascii="Consolas" w:hAnsi="Consolas" w:eastAsia="Consolas"/>
          <w:sz w:val="17"/>
        </w:rPr>
        <w:t>python -m ruff check src tests</w:t>
        <w:br/>
      </w:r>
      <w:r>
        <w:rPr>
          <w:rFonts w:ascii="Consolas" w:hAnsi="Consolas" w:eastAsia="Consolas"/>
          <w:sz w:val="17"/>
        </w:rPr>
        <w:t>python -m pytest -v --cov=src --cov-report=term-missing --cov-fail-under=80   # 69 passed, 1 xfailed</w:t>
      </w:r>
    </w:p>
    <w:p>
      <w:pPr>
        <w:pStyle w:val="Ttulo2"/>
        <w:keepNext/>
      </w:pPr>
      <w:r>
        <w:t>3.3 Crear el repositorio remoto y enviar (ejecución verde)</w:t>
      </w:r>
    </w:p>
    <w:p>
      <w:pPr>
        <w:spacing w:before="0" w:after="120" w:line="276" w:lineRule="auto"/>
        <w:jc w:val="both"/>
      </w:pPr>
      <w:r>
        <w:t xml:space="preserve">En github.com cree un repositorio </w:t>
      </w:r>
      <w:r>
        <w:rPr>
          <w:b/>
        </w:rPr>
        <w:t>vacío</w:t>
      </w:r>
      <w:r>
        <w:t xml:space="preserve"> (sin README, sin .gitignore, sin licencia) y copie su URL. No invente la URL: es la que GitHub muestra al crearlo.</w:t>
      </w:r>
    </w:p>
    <w:p>
      <w:pPr>
        <w:spacing w:before="40" w:after="160" w:line="240" w:lineRule="auto"/>
        <w:shd w:val="clear" w:color="auto" w:fill="F2F4F7"/>
        <w:ind w:left="170" w:right="170"/>
      </w:pPr>
      <w:r>
        <w:rPr>
          <w:rFonts w:ascii="Consolas" w:hAnsi="Consolas" w:eastAsia="Consolas"/>
          <w:sz w:val="17"/>
        </w:rPr>
        <w:t>git remote -v                                   # si ya existe "origin" con otra URL: git remote remove origin</w:t>
        <w:br/>
      </w:r>
      <w:r>
        <w:rPr>
          <w:rFonts w:ascii="Consolas" w:hAnsi="Consolas" w:eastAsia="Consolas"/>
          <w:sz w:val="17"/>
        </w:rPr>
        <w:t>git remote add origin &lt;URL-que-muestra-GitHub&gt;</w:t>
        <w:br/>
      </w:r>
      <w:r>
        <w:rPr>
          <w:rFonts w:ascii="Consolas" w:hAnsi="Consolas" w:eastAsia="Consolas"/>
          <w:sz w:val="17"/>
        </w:rPr>
        <w:t>git push -u origin main                         # Git abrirá el navegador para iniciar sesión</w:t>
      </w:r>
    </w:p>
    <w:p>
      <w:pPr>
        <w:spacing w:before="0" w:after="120" w:line="276" w:lineRule="auto"/>
        <w:jc w:val="both"/>
      </w:pPr>
      <w:r>
        <w:t xml:space="preserve">Abra el repositorio en GitHub → pestaña </w:t>
      </w:r>
      <w:r>
        <w:rPr>
          <w:b/>
        </w:rPr>
        <w:t>Actions</w:t>
      </w:r>
      <w:r>
        <w:t xml:space="preserve"> → workflow </w:t>
      </w:r>
      <w:r>
        <w:rPr>
          <w:b/>
        </w:rPr>
        <w:t>CI Business Logic</w:t>
      </w:r>
      <w:r>
        <w:t xml:space="preserve">. Espere a que las dos ejecuciones de la matriz (Python 3.11 y 3.13) terminen en verde. </w:t>
      </w:r>
      <w:r>
        <w:rPr>
          <w:b/>
        </w:rPr>
        <w:t>Guarde una captura</w:t>
      </w:r>
      <w:r>
        <w:t xml:space="preserve"> donde se vean el commit, la marca verde y la fecha.</w:t>
      </w:r>
    </w:p>
    <w:p>
      <w:pPr>
        <w:pStyle w:val="Ttulo2"/>
        <w:keepNext/>
      </w:pPr>
      <w:r>
        <w:t>3.4 Introducir un fallo controlado (ejecución roja)</w:t>
      </w:r>
    </w:p>
    <w:p>
      <w:pPr>
        <w:spacing w:before="0" w:after="120" w:line="276" w:lineRule="auto"/>
        <w:jc w:val="both"/>
      </w:pPr>
      <w:r>
        <w:t xml:space="preserve">Abra </w:t>
      </w:r>
      <w:r>
        <w:rPr>
          <w:rFonts w:ascii="Consolas" w:hAnsi="Consolas" w:eastAsia="Consolas"/>
          <w:sz w:val="18"/>
        </w:rPr>
        <w:t>tests\test_service.py</w:t>
      </w:r>
      <w:r>
        <w:t xml:space="preserve"> en VS Code y, en </w:t>
      </w:r>
      <w:r>
        <w:rPr>
          <w:rFonts w:ascii="Consolas" w:hAnsi="Consolas" w:eastAsia="Consolas"/>
          <w:sz w:val="18"/>
        </w:rPr>
        <w:t>test_pago_aprobado_vip_200_cobra_170</w:t>
      </w:r>
      <w:r>
        <w:t xml:space="preserve">, cambie temporalmente </w:t>
      </w:r>
      <w:r>
        <w:rPr>
          <w:rFonts w:ascii="Consolas" w:hAnsi="Consolas" w:eastAsia="Consolas"/>
          <w:sz w:val="18"/>
        </w:rPr>
        <w:t>assert cobrado == 170</w:t>
      </w:r>
      <w:r>
        <w:t xml:space="preserve"> por </w:t>
      </w:r>
      <w:r>
        <w:rPr>
          <w:rFonts w:ascii="Consolas" w:hAnsi="Consolas" w:eastAsia="Consolas"/>
          <w:sz w:val="18"/>
        </w:rPr>
        <w:t>assert cobrado == 171</w:t>
      </w:r>
      <w:r>
        <w:t xml:space="preserve">. Guarde el archivo. Se recomienda editar en VS Code: en Windows PowerShell 5.1, </w:t>
      </w:r>
      <w:r>
        <w:rPr>
          <w:rFonts w:ascii="Consolas" w:hAnsi="Consolas" w:eastAsia="Consolas"/>
          <w:sz w:val="18"/>
        </w:rPr>
        <w:t>Set-Content</w:t>
      </w:r>
      <w:r>
        <w:t xml:space="preserve"> sin </w:t>
      </w:r>
      <w:r>
        <w:rPr>
          <w:rFonts w:ascii="Consolas" w:hAnsi="Consolas" w:eastAsia="Consolas"/>
          <w:sz w:val="18"/>
        </w:rPr>
        <w:t>-Encoding utf8</w:t>
      </w:r>
      <w:r>
        <w:t xml:space="preserve"> puede dañar los acentos del archivo.</w:t>
      </w:r>
    </w:p>
    <w:p>
      <w:pPr>
        <w:spacing w:before="40" w:after="160" w:line="240" w:lineRule="auto"/>
        <w:shd w:val="clear" w:color="auto" w:fill="F2F4F7"/>
        <w:ind w:left="170" w:right="170"/>
      </w:pPr>
      <w:r>
        <w:rPr>
          <w:rFonts w:ascii="Consolas" w:hAnsi="Consolas" w:eastAsia="Consolas"/>
          <w:sz w:val="17"/>
        </w:rPr>
        <w:t>Select-String -Path tests\test_service.py -Pattern "assert cobrado == 17"   # debe mostrar 171</w:t>
        <w:br/>
      </w:r>
      <w:r>
        <w:rPr>
          <w:rFonts w:ascii="Consolas" w:hAnsi="Consolas" w:eastAsia="Consolas"/>
          <w:sz w:val="17"/>
        </w:rPr>
        <w:t>git commit -am "E8: fallo controlado temporal (aserción falsa)"</w:t>
        <w:br/>
      </w:r>
      <w:r>
        <w:rPr>
          <w:rFonts w:ascii="Consolas" w:hAnsi="Consolas" w:eastAsia="Consolas"/>
          <w:sz w:val="17"/>
        </w:rPr>
        <w:t>git push</w:t>
      </w:r>
    </w:p>
    <w:p>
      <w:pPr>
        <w:spacing w:before="0" w:after="120" w:line="276" w:lineRule="auto"/>
        <w:jc w:val="both"/>
      </w:pPr>
      <w:r>
        <w:t xml:space="preserve">En </w:t>
      </w:r>
      <w:r>
        <w:rPr>
          <w:b/>
        </w:rPr>
        <w:t>Actions</w:t>
      </w:r>
      <w:r>
        <w:t xml:space="preserve"> la nueva ejecución debe terminar en </w:t>
      </w:r>
      <w:r>
        <w:rPr>
          <w:b/>
        </w:rPr>
        <w:t>rojo</w:t>
      </w:r>
      <w:r>
        <w:t xml:space="preserve"> en el paso «Pytest con cobertura mínima del 80 %». Abra el paso y </w:t>
      </w:r>
      <w:r>
        <w:rPr>
          <w:b/>
        </w:rPr>
        <w:t>guarde una captura</w:t>
      </w:r>
      <w:r>
        <w:t xml:space="preserve"> donde se vea </w:t>
      </w:r>
      <w:r>
        <w:rPr>
          <w:rFonts w:ascii="Consolas" w:hAnsi="Consolas" w:eastAsia="Consolas"/>
          <w:sz w:val="18"/>
        </w:rPr>
        <w:t>FAILED tests/test_service.py::test_pago_aprobado_vip_200_cobra_170</w:t>
      </w:r>
      <w:r>
        <w:t>.</w:t>
      </w:r>
    </w:p>
    <w:p>
      <w:pPr>
        <w:pStyle w:val="Ttulo2"/>
        <w:keepNext/>
      </w:pPr>
      <w:r>
        <w:t>3.5 Revertir el fallo (ejecución verde de nuevo)</w:t>
      </w:r>
    </w:p>
    <w:p>
      <w:pPr>
        <w:spacing w:before="40" w:after="160" w:line="240" w:lineRule="auto"/>
        <w:shd w:val="clear" w:color="auto" w:fill="F2F4F7"/>
        <w:ind w:left="170" w:right="170"/>
      </w:pPr>
      <w:r>
        <w:rPr>
          <w:rFonts w:ascii="Consolas" w:hAnsi="Consolas" w:eastAsia="Consolas"/>
          <w:sz w:val="17"/>
        </w:rPr>
        <w:t>git revert --no-edit HEAD</w:t>
        <w:br/>
      </w:r>
      <w:r>
        <w:rPr>
          <w:rFonts w:ascii="Consolas" w:hAnsi="Consolas" w:eastAsia="Consolas"/>
          <w:sz w:val="17"/>
        </w:rPr>
        <w:t>git push</w:t>
        <w:br/>
      </w:r>
      <w:r>
        <w:rPr>
          <w:rFonts w:ascii="Consolas" w:hAnsi="Consolas" w:eastAsia="Consolas"/>
          <w:sz w:val="17"/>
        </w:rPr>
        <w:t>Select-String -Path tests\test_service.py -Pattern "assert cobrado == 17"   # debe mostrar 170, no 171</w:t>
        <w:br/>
      </w:r>
      <w:r>
        <w:rPr>
          <w:rFonts w:ascii="Consolas" w:hAnsi="Consolas" w:eastAsia="Consolas"/>
          <w:sz w:val="17"/>
        </w:rPr>
        <w:t>git log --oneline -3</w:t>
      </w:r>
    </w:p>
    <w:p>
      <w:pPr>
        <w:spacing w:before="0" w:after="120" w:line="276" w:lineRule="auto"/>
        <w:jc w:val="both"/>
      </w:pPr>
      <w:r>
        <w:t xml:space="preserve">Espere la ejecución en verde y </w:t>
      </w:r>
      <w:r>
        <w:rPr>
          <w:b/>
        </w:rPr>
        <w:t>guarde la tercera captura</w:t>
      </w:r>
      <w:r>
        <w:t xml:space="preserve">. Anote la URL del repositorio (por ejemplo, la de la página principal en GitHub) en la sección 10 del reporte y en el </w:t>
      </w:r>
      <w:r>
        <w:rPr>
          <w:rFonts w:ascii="Consolas" w:hAnsi="Consolas" w:eastAsia="Consolas"/>
          <w:sz w:val="18"/>
        </w:rPr>
        <w:t>README.md</w:t>
      </w:r>
      <w:r>
        <w:t>. La protección de rama (*branch protection*) es opcional y se configura en Settings → Branches; si no la configuran, el reporte no debe afirmar que existe.</w:t>
      </w:r>
    </w:p>
    <w:p>
      <w:pPr>
        <w:spacing w:before="0" w:after="120" w:line="276" w:lineRule="auto"/>
        <w:jc w:val="both"/>
      </w:pPr>
      <w:r>
        <w:rPr>
          <w:b/>
        </w:rPr>
        <w:t>Completado cuando:</w:t>
      </w:r>
      <w:r>
        <w:t xml:space="preserve"> hay tres capturas (verde, roja, verde) con fechas, el código final tiene </w:t>
      </w:r>
      <w:r>
        <w:rPr>
          <w:rFonts w:ascii="Consolas" w:hAnsi="Consolas" w:eastAsia="Consolas"/>
          <w:sz w:val="18"/>
        </w:rPr>
        <w:t>assert cobrado == 170</w:t>
      </w:r>
      <w:r>
        <w:t xml:space="preserve"> y la URL real está en el reporte.</w:t>
      </w:r>
    </w:p>
    <w:p>
      <w:pPr>
        <w:pStyle w:val="Ttulo1"/>
        <w:keepNext/>
      </w:pPr>
      <w:r>
        <w:t>4. P-05 a P-07: integrar las pruebas en el repositorio real de Eventos Nova</w:t>
      </w:r>
    </w:p>
    <w:p>
      <w:pPr>
        <w:pStyle w:val="Ttulo2"/>
        <w:keepNext/>
      </w:pPr>
      <w:r>
        <w:t>4.1 Qué contiene el ZIP v2</w:t>
      </w:r>
    </w:p>
    <w:p>
      <w:pPr>
        <w:spacing w:before="0" w:after="120" w:line="276" w:lineRule="auto"/>
        <w:jc w:val="both"/>
      </w:pPr>
      <w:r>
        <w:rPr>
          <w:rFonts w:ascii="Consolas" w:hAnsi="Consolas" w:eastAsia="Consolas"/>
          <w:sz w:val="18"/>
        </w:rPr>
        <w:t>pia_eventos_nova/Eventosnova/</w:t>
      </w:r>
      <w:r>
        <w:t xml:space="preserve"> es una </w:t>
      </w:r>
      <w:r>
        <w:rPr>
          <w:b/>
        </w:rPr>
        <w:t>copia</w:t>
      </w:r>
      <w:r>
        <w:t xml:space="preserve"> del repositorio del equipo (sin </w:t>
      </w:r>
      <w:r>
        <w:rPr>
          <w:rFonts w:ascii="Consolas" w:hAnsi="Consolas" w:eastAsia="Consolas"/>
          <w:sz w:val="18"/>
        </w:rPr>
        <w:t>.git</w:t>
      </w:r>
      <w:r>
        <w:t xml:space="preserve">, </w:t>
      </w:r>
      <w:r>
        <w:rPr>
          <w:rFonts w:ascii="Consolas" w:hAnsi="Consolas" w:eastAsia="Consolas"/>
          <w:sz w:val="18"/>
        </w:rPr>
        <w:t>.venv</w:t>
      </w:r>
      <w:r>
        <w:t xml:space="preserve"> ni </w:t>
      </w:r>
      <w:r>
        <w:rPr>
          <w:rFonts w:ascii="Consolas" w:hAnsi="Consolas" w:eastAsia="Consolas"/>
          <w:sz w:val="18"/>
        </w:rPr>
        <w:t>.env</w:t>
      </w:r>
      <w:r>
        <w:t xml:space="preserve">) con </w:t>
      </w:r>
      <w:r>
        <w:rPr>
          <w:rFonts w:ascii="Consolas" w:hAnsi="Consolas" w:eastAsia="Consolas"/>
          <w:sz w:val="18"/>
        </w:rPr>
        <w:t>tests_u5/</w:t>
      </w:r>
      <w:r>
        <w:t xml:space="preserve"> y </w:t>
      </w:r>
      <w:r>
        <w:rPr>
          <w:rFonts w:ascii="Consolas" w:hAnsi="Consolas" w:eastAsia="Consolas"/>
          <w:sz w:val="18"/>
        </w:rPr>
        <w:t>pytest.ini</w:t>
      </w:r>
      <w:r>
        <w:t xml:space="preserve"> en su raíz y la corrección U5-H1 aplicada en </w:t>
      </w:r>
      <w:r>
        <w:rPr>
          <w:rFonts w:ascii="Consolas" w:hAnsi="Consolas" w:eastAsia="Consolas"/>
          <w:sz w:val="18"/>
        </w:rPr>
        <w:t>src/domain/solicitudes.py</w:t>
      </w:r>
      <w:r>
        <w:t xml:space="preserve"> y </w:t>
      </w:r>
      <w:r>
        <w:rPr>
          <w:rFonts w:ascii="Consolas" w:hAnsi="Consolas" w:eastAsia="Consolas"/>
          <w:sz w:val="18"/>
        </w:rPr>
        <w:t>src/application/servicios.py</w:t>
      </w:r>
      <w:r>
        <w:t xml:space="preserve">. El parche exacto está en </w:t>
      </w:r>
      <w:r>
        <w:rPr>
          <w:rFonts w:ascii="Consolas" w:hAnsi="Consolas" w:eastAsia="Consolas"/>
          <w:sz w:val="18"/>
        </w:rPr>
        <w:t>pia_eventos_nova/PARCHE_U5H1_consulta_proveedores.patch</w:t>
      </w:r>
      <w:r>
        <w:t xml:space="preserve">. No hay que crear ni renombrar módulos: las pruebas importan </w:t>
      </w:r>
      <w:r>
        <w:rPr>
          <w:rFonts w:ascii="Consolas" w:hAnsi="Consolas" w:eastAsia="Consolas"/>
          <w:sz w:val="18"/>
        </w:rPr>
        <w:t>domain</w:t>
      </w:r>
      <w:r>
        <w:t xml:space="preserve">, </w:t>
      </w:r>
      <w:r>
        <w:rPr>
          <w:rFonts w:ascii="Consolas" w:hAnsi="Consolas" w:eastAsia="Consolas"/>
          <w:sz w:val="18"/>
        </w:rPr>
        <w:t>application</w:t>
      </w:r>
      <w:r>
        <w:t xml:space="preserve">, </w:t>
      </w:r>
      <w:r>
        <w:rPr>
          <w:rFonts w:ascii="Consolas" w:hAnsi="Consolas" w:eastAsia="Consolas"/>
          <w:sz w:val="18"/>
        </w:rPr>
        <w:t>infrastructure</w:t>
      </w:r>
      <w:r>
        <w:t xml:space="preserve"> (de </w:t>
      </w:r>
      <w:r>
        <w:rPr>
          <w:rFonts w:ascii="Consolas" w:hAnsi="Consolas" w:eastAsia="Consolas"/>
          <w:sz w:val="18"/>
        </w:rPr>
        <w:t>src/</w:t>
      </w:r>
      <w:r>
        <w:t xml:space="preserve">) y </w:t>
      </w:r>
      <w:r>
        <w:rPr>
          <w:rFonts w:ascii="Consolas" w:hAnsi="Consolas" w:eastAsia="Consolas"/>
          <w:sz w:val="18"/>
        </w:rPr>
        <w:t>apoyo_flujo</w:t>
      </w:r>
      <w:r>
        <w:t xml:space="preserve">, </w:t>
      </w:r>
      <w:r>
        <w:rPr>
          <w:rFonts w:ascii="Consolas" w:hAnsi="Consolas" w:eastAsia="Consolas"/>
          <w:sz w:val="18"/>
        </w:rPr>
        <w:t>apoyo_bd</w:t>
      </w:r>
      <w:r>
        <w:t xml:space="preserve">, </w:t>
      </w:r>
      <w:r>
        <w:rPr>
          <w:rFonts w:ascii="Consolas" w:hAnsi="Consolas" w:eastAsia="Consolas"/>
          <w:sz w:val="18"/>
        </w:rPr>
        <w:t>test_reglas_corregidas</w:t>
      </w:r>
      <w:r>
        <w:t xml:space="preserve"> (de </w:t>
      </w:r>
      <w:r>
        <w:rPr>
          <w:rFonts w:ascii="Consolas" w:hAnsi="Consolas" w:eastAsia="Consolas"/>
          <w:sz w:val="18"/>
        </w:rPr>
        <w:t>tests/</w:t>
      </w:r>
      <w:r>
        <w:t>), que ya existen en el repositorio.</w:t>
      </w:r>
    </w:p>
    <w:p>
      <w:pPr>
        <w:pStyle w:val="Ttulo2"/>
        <w:keepNext/>
      </w:pPr>
      <w:r>
        <w:t>4.2 Copiar las pruebas y aplicar el parche</w:t>
      </w:r>
    </w:p>
    <w:p>
      <w:pPr>
        <w:spacing w:before="0" w:after="120" w:line="276" w:lineRule="auto"/>
        <w:jc w:val="both"/>
      </w:pPr>
      <w:r>
        <w:t xml:space="preserve">En la carpeta del repositorio real de Eventos Nova (la que tiene </w:t>
      </w:r>
      <w:r>
        <w:rPr>
          <w:rFonts w:ascii="Consolas" w:hAnsi="Consolas" w:eastAsia="Consolas"/>
          <w:sz w:val="18"/>
        </w:rPr>
        <w:t>.git</w:t>
      </w:r>
      <w:r>
        <w:t>). Primero revise su estado: la copia del ZIP se tomó con cambios locales sin confirmar, así que conviene saber qué tiene pendiente antes de añadir nada.</w:t>
      </w:r>
    </w:p>
    <w:p>
      <w:pPr>
        <w:spacing w:before="40" w:after="160" w:line="240" w:lineRule="auto"/>
        <w:shd w:val="clear" w:color="auto" w:fill="F2F4F7"/>
        <w:ind w:left="170" w:right="170"/>
      </w:pPr>
      <w:r>
        <w:rPr>
          <w:rFonts w:ascii="Consolas" w:hAnsi="Consolas" w:eastAsia="Consolas"/>
          <w:sz w:val="17"/>
        </w:rPr>
        <w:t>cd "C:\ruta\a\Eventosnova"</w:t>
        <w:br/>
      </w:r>
      <w:r>
        <w:rPr>
          <w:rFonts w:ascii="Consolas" w:hAnsi="Consolas" w:eastAsia="Consolas"/>
          <w:sz w:val="17"/>
        </w:rPr>
        <w:t>git status</w:t>
        <w:br/>
      </w:r>
      <w:r>
        <w:rPr>
          <w:rFonts w:ascii="Consolas" w:hAnsi="Consolas" w:eastAsia="Consolas"/>
          <w:sz w:val="17"/>
        </w:rPr>
        <w:t>$Z = "C:\Users\&lt;usuario&gt;\Downloads\Actividad5_CLN_Equipo16_v2\Actividad5_CLN_Equipo16\pia_eventos_nova"</w:t>
        <w:br/>
      </w:r>
      <w:r>
        <w:rPr>
          <w:rFonts w:ascii="Consolas" w:hAnsi="Consolas" w:eastAsia="Consolas"/>
          <w:sz w:val="17"/>
        </w:rPr>
        <w:t>Copy-Item -Recurse "$Z\Eventosnova\tests_u5" .</w:t>
        <w:br/>
      </w:r>
      <w:r>
        <w:rPr>
          <w:rFonts w:ascii="Consolas" w:hAnsi="Consolas" w:eastAsia="Consolas"/>
          <w:sz w:val="17"/>
        </w:rPr>
        <w:t>Copy-Item "$Z\Eventosnova\pytest.ini" .</w:t>
        <w:br/>
      </w:r>
      <w:r>
        <w:rPr>
          <w:rFonts w:ascii="Consolas" w:hAnsi="Consolas" w:eastAsia="Consolas"/>
          <w:sz w:val="17"/>
        </w:rPr>
        <w:t>git apply --check "$Z\PARCHE_U5H1_consulta_proveedores.patch"   # sin mensajes = se puede aplicar</w:t>
        <w:br/>
      </w:r>
      <w:r>
        <w:rPr>
          <w:rFonts w:ascii="Consolas" w:hAnsi="Consolas" w:eastAsia="Consolas"/>
          <w:sz w:val="17"/>
        </w:rPr>
        <w:t>git apply "$Z\PARCHE_U5H1_consulta_proveedores.patch"</w:t>
      </w:r>
    </w:p>
    <w:p>
      <w:pPr>
        <w:spacing w:before="0" w:after="120" w:line="276" w:lineRule="auto"/>
        <w:jc w:val="both"/>
      </w:pPr>
      <w:r>
        <w:t xml:space="preserve">Si </w:t>
      </w:r>
      <w:r>
        <w:rPr>
          <w:rFonts w:ascii="Consolas" w:hAnsi="Consolas" w:eastAsia="Consolas"/>
          <w:sz w:val="18"/>
        </w:rPr>
        <w:t>git apply --check</w:t>
      </w:r>
      <w:r>
        <w:t xml:space="preserve"> falla, su copia de esos dos archivos es distinta de la del ZIP. </w:t>
      </w:r>
      <w:r>
        <w:rPr>
          <w:b/>
        </w:rPr>
        <w:t>No copie los archivos completos encima de los suyos</w:t>
      </w:r>
      <w:r>
        <w:t xml:space="preserve"> (podría perder cambios): abra el parche y aplique a mano sus dos fragmentos (un método nuevo en </w:t>
      </w:r>
      <w:r>
        <w:rPr>
          <w:rFonts w:ascii="Consolas" w:hAnsi="Consolas" w:eastAsia="Consolas"/>
          <w:sz w:val="18"/>
        </w:rPr>
        <w:t>SolicitudServicioAdicional</w:t>
      </w:r>
      <w:r>
        <w:t xml:space="preserve"> y tres líneas en </w:t>
      </w:r>
      <w:r>
        <w:rPr>
          <w:rFonts w:ascii="Consolas" w:hAnsi="Consolas" w:eastAsia="Consolas"/>
          <w:sz w:val="18"/>
        </w:rPr>
        <w:t>evaluar_disponibilidad_servicio_adicional</w:t>
      </w:r>
      <w:r>
        <w:t>). Si deciden no aplicar el parche, la prueba PIA-03b fallará: es el comportamiento que el hallazgo describe.</w:t>
      </w:r>
    </w:p>
    <w:p>
      <w:pPr>
        <w:pStyle w:val="Ttulo2"/>
        <w:keepNext/>
      </w:pPr>
      <w:r>
        <w:t>4.3 Ejecutar y comprobar</w:t>
      </w:r>
    </w:p>
    <w:p>
      <w:pPr>
        <w:spacing w:before="40" w:after="160" w:line="240" w:lineRule="auto"/>
        <w:shd w:val="clear" w:color="auto" w:fill="F2F4F7"/>
        <w:ind w:left="170" w:right="170"/>
      </w:pPr>
      <w:r>
        <w:rPr>
          <w:rFonts w:ascii="Consolas" w:hAnsi="Consolas" w:eastAsia="Consolas"/>
          <w:sz w:val="17"/>
        </w:rPr>
        <w:t>.\.venv\Scripts\Activate.ps1                              # o cree el entorno: py -3.13 -m venv .venv</w:t>
        <w:br/>
      </w:r>
      <w:r>
        <w:rPr>
          <w:rFonts w:ascii="Consolas" w:hAnsi="Consolas" w:eastAsia="Consolas"/>
          <w:sz w:val="17"/>
        </w:rPr>
        <w:t>python -m pip install -r requirements-dev.txt "pytest&gt;=8,&lt;10" "pytest-cov&gt;=5,&lt;8" "ruff&gt;=0.6"</w:t>
        <w:br/>
      </w:r>
      <w:r>
        <w:rPr>
          <w:rFonts w:ascii="Consolas" w:hAnsi="Consolas" w:eastAsia="Consolas"/>
          <w:sz w:val="17"/>
        </w:rPr>
        <w:t>python -m ruff check tests_u5</w:t>
        <w:br/>
      </w:r>
      <w:r>
        <w:rPr>
          <w:rFonts w:ascii="Consolas" w:hAnsi="Consolas" w:eastAsia="Consolas"/>
          <w:sz w:val="17"/>
        </w:rPr>
        <w:t>python -m pytest -v -rxX                                    # sin PostgreSQL: 19 passed, 3 skipped</w:t>
      </w:r>
    </w:p>
    <w:p>
      <w:pPr>
        <w:spacing w:before="0" w:after="120" w:line="276" w:lineRule="auto"/>
        <w:jc w:val="both"/>
      </w:pPr>
      <w:r>
        <w:t xml:space="preserve">Para ejecutar también las tres pruebas de PostgreSQL (PIA-17 a PIA-19), levante la base con Docker y use la base de </w:t>
      </w:r>
      <w:r>
        <w:rPr>
          <w:b/>
        </w:rPr>
        <w:t>pruebas</w:t>
      </w:r>
      <w:r>
        <w:t xml:space="preserve"> (su nombre termina en </w:t>
      </w:r>
      <w:r>
        <w:rPr>
          <w:rFonts w:ascii="Consolas" w:hAnsi="Consolas" w:eastAsia="Consolas"/>
          <w:sz w:val="18"/>
        </w:rPr>
        <w:t>_test</w:t>
      </w:r>
      <w:r>
        <w:t xml:space="preserve">). Las credenciales salen de su </w:t>
      </w:r>
      <w:r>
        <w:rPr>
          <w:rFonts w:ascii="Consolas" w:hAnsi="Consolas" w:eastAsia="Consolas"/>
          <w:sz w:val="18"/>
        </w:rPr>
        <w:t>.env</w:t>
      </w:r>
      <w:r>
        <w:t>, que no se entrega ni se versiona:</w:t>
      </w:r>
    </w:p>
    <w:p>
      <w:pPr>
        <w:spacing w:before="40" w:after="160" w:line="240" w:lineRule="auto"/>
        <w:shd w:val="clear" w:color="auto" w:fill="F2F4F7"/>
        <w:ind w:left="170" w:right="170"/>
      </w:pPr>
      <w:r>
        <w:rPr>
          <w:rFonts w:ascii="Consolas" w:hAnsi="Consolas" w:eastAsia="Consolas"/>
          <w:sz w:val="17"/>
        </w:rPr>
        <w:t>docker compose up -d db</w:t>
        <w:br/>
      </w:r>
      <w:r>
        <w:rPr>
          <w:rFonts w:ascii="Consolas" w:hAnsi="Consolas" w:eastAsia="Consolas"/>
          <w:sz w:val="17"/>
        </w:rPr>
        <w:t>python scripts\preparar_base_de_pruebas.py                # crea y migra la base _test</w:t>
        <w:br/>
      </w:r>
      <w:r>
        <w:rPr>
          <w:rFonts w:ascii="Consolas" w:hAnsi="Consolas" w:eastAsia="Consolas"/>
          <w:sz w:val="17"/>
        </w:rPr>
        <w:t>$env:EVENTOSNOVA_REQUIERE_BD = "1"                          # sin base, las pruebas fallan en lugar de omitirse</w:t>
        <w:br/>
      </w:r>
      <w:r>
        <w:rPr>
          <w:rFonts w:ascii="Consolas" w:hAnsi="Consolas" w:eastAsia="Consolas"/>
          <w:sz w:val="17"/>
        </w:rPr>
        <w:t>python -m pytest -v -rxX                                    # esperado: 22 passed</w:t>
        <w:br/>
      </w:r>
      <w:r>
        <w:rPr>
          <w:rFonts w:ascii="Consolas" w:hAnsi="Consolas" w:eastAsia="Consolas"/>
          <w:sz w:val="17"/>
        </w:rPr>
        <w:t>python -m pytest --cov=src --cov-branch --cov-report=term --cov-report=html:htmlcov_u5</w:t>
        <w:br/>
      </w:r>
      <w:r>
        <w:rPr>
          <w:rFonts w:ascii="Consolas" w:hAnsi="Consolas" w:eastAsia="Consolas"/>
          <w:sz w:val="17"/>
        </w:rPr>
        <w:t>python -m unittest discover -s tests                        # suite del equipo: 1 306 pruebas</w:t>
      </w:r>
    </w:p>
    <w:p>
      <w:pPr>
        <w:spacing w:before="0" w:after="120" w:line="276" w:lineRule="auto"/>
        <w:jc w:val="both"/>
      </w:pPr>
      <w:r>
        <w:rPr>
          <w:b/>
        </w:rPr>
        <w:t>Cómo comprobar:</w:t>
      </w:r>
      <w:r>
        <w:t xml:space="preserve"> el resumen final de pytest debe decir </w:t>
      </w:r>
      <w:r>
        <w:rPr>
          <w:rFonts w:ascii="Consolas" w:hAnsi="Consolas" w:eastAsia="Consolas"/>
          <w:sz w:val="18"/>
        </w:rPr>
        <w:t>22 passed</w:t>
      </w:r>
      <w:r>
        <w:t xml:space="preserve"> (o </w:t>
      </w:r>
      <w:r>
        <w:rPr>
          <w:rFonts w:ascii="Consolas" w:hAnsi="Consolas" w:eastAsia="Consolas"/>
          <w:sz w:val="18"/>
        </w:rPr>
        <w:t>19 passed, 3 skipped</w:t>
      </w:r>
      <w:r>
        <w:t xml:space="preserve"> sin base). La suite del equipo debe ejecutar 1 306 pruebas. Aquí falló solo </w:t>
      </w:r>
      <w:r>
        <w:rPr>
          <w:rFonts w:ascii="Consolas" w:hAnsi="Consolas" w:eastAsia="Consolas"/>
          <w:sz w:val="18"/>
        </w:rPr>
        <w:t>test_openapi_exportada</w:t>
      </w:r>
      <w:r>
        <w:t xml:space="preserve"> por la versión de Pydantic (P-07); en su entorno, con Pydantic 2.14.1, se espera que pase.</w:t>
      </w:r>
    </w:p>
    <w:p>
      <w:pPr>
        <w:spacing w:before="0" w:after="120" w:line="276" w:lineRule="auto"/>
        <w:jc w:val="both"/>
      </w:pPr>
      <w:r>
        <w:rPr>
          <w:b/>
        </w:rPr>
        <w:t>Si una prueba falla:</w:t>
      </w:r>
      <w:r>
        <w:t xml:space="preserve"> lea el mensaje de la aserción; compruebe que </w:t>
      </w:r>
      <w:r>
        <w:rPr>
          <w:rFonts w:ascii="Consolas" w:hAnsi="Consolas" w:eastAsia="Consolas"/>
          <w:sz w:val="18"/>
        </w:rPr>
        <w:t>tests_u5/</w:t>
      </w:r>
      <w:r>
        <w:t xml:space="preserve"> está junto a </w:t>
      </w:r>
      <w:r>
        <w:rPr>
          <w:rFonts w:ascii="Consolas" w:hAnsi="Consolas" w:eastAsia="Consolas"/>
          <w:sz w:val="18"/>
        </w:rPr>
        <w:t>src/</w:t>
      </w:r>
      <w:r>
        <w:t xml:space="preserve"> y </w:t>
      </w:r>
      <w:r>
        <w:rPr>
          <w:rFonts w:ascii="Consolas" w:hAnsi="Consolas" w:eastAsia="Consolas"/>
          <w:sz w:val="18"/>
        </w:rPr>
        <w:t>tests/</w:t>
      </w:r>
      <w:r>
        <w:t xml:space="preserve">; si el error es de importación, ejecute desde la raíz del repositorio. Si es una regla, contraste con el BRD y los CA citados en el encabezado del archivo de prueba antes de cambiar la prueba o el código. No marque la prueba como </w:t>
      </w:r>
      <w:r>
        <w:rPr>
          <w:rFonts w:ascii="Consolas" w:hAnsi="Consolas" w:eastAsia="Consolas"/>
          <w:sz w:val="18"/>
        </w:rPr>
        <w:t>xfail</w:t>
      </w:r>
      <w:r>
        <w:t xml:space="preserve"> para ocultar el fallo.</w:t>
      </w:r>
    </w:p>
    <w:p>
      <w:pPr>
        <w:spacing w:before="40" w:after="160" w:line="240" w:lineRule="auto"/>
        <w:shd w:val="clear" w:color="auto" w:fill="F2F4F7"/>
        <w:ind w:left="170" w:right="170"/>
      </w:pPr>
      <w:r>
        <w:rPr>
          <w:rFonts w:ascii="Consolas" w:hAnsi="Consolas" w:eastAsia="Consolas"/>
          <w:sz w:val="17"/>
        </w:rPr>
        <w:t>git add tests_u5 pytest.ini src\domain\solicitudes.py src\application\servicios.py</w:t>
        <w:br/>
      </w:r>
      <w:r>
        <w:rPr>
          <w:rFonts w:ascii="Consolas" w:hAnsi="Consolas" w:eastAsia="Consolas"/>
          <w:sz w:val="17"/>
        </w:rPr>
        <w:t>git commit -m "U5: pruebas pytest de reglas aprobadas y corrección U5-H1 (consulta a proveedores)"</w:t>
      </w:r>
    </w:p>
    <w:p>
      <w:pPr>
        <w:spacing w:before="0" w:after="120" w:line="276" w:lineRule="auto"/>
        <w:jc w:val="both"/>
      </w:pPr>
      <w:r>
        <w:t xml:space="preserve">Con </w:t>
      </w:r>
      <w:r>
        <w:rPr>
          <w:rFonts w:ascii="Consolas" w:hAnsi="Consolas" w:eastAsia="Consolas"/>
          <w:sz w:val="18"/>
        </w:rPr>
        <w:t>git add</w:t>
      </w:r>
      <w:r>
        <w:t xml:space="preserve"> solo de esos archivos se evita incluir por accidente los demás cambios pendientes del repositorio.</w:t>
      </w:r>
    </w:p>
    <w:p>
      <w:pPr>
        <w:pStyle w:val="Ttulo1"/>
        <w:keepNext/>
      </w:pPr>
      <w:r>
        <w:t>5. P-01, P-02 y P-08: revisión del equipo</w:t>
      </w:r>
    </w:p>
    <w:p>
      <w:pPr>
        <w:spacing w:before="0" w:after="120" w:line="276" w:lineRule="auto"/>
        <w:jc w:val="both"/>
      </w:pPr>
      <w:r>
        <w:t xml:space="preserve">Cada integrante abre </w:t>
      </w:r>
      <w:r>
        <w:rPr>
          <w:rFonts w:ascii="Consolas" w:hAnsi="Consolas" w:eastAsia="Consolas"/>
          <w:sz w:val="18"/>
        </w:rPr>
        <w:t>docs/BITACORA_IA_ACTIVIDAD5.docx</w:t>
      </w:r>
      <w:r>
        <w:t xml:space="preserve"> y, para cada ficha de la sección 8: (1) lee el problema y la decisión; (2) abre el registro de </w:t>
      </w:r>
      <w:r>
        <w:rPr>
          <w:rFonts w:ascii="Consolas" w:hAnsi="Consolas" w:eastAsia="Consolas"/>
          <w:sz w:val="18"/>
        </w:rPr>
        <w:t>evidencias/</w:t>
      </w:r>
      <w:r>
        <w:t xml:space="preserve"> que se cita y comprueba el resultado; (3) responde las preguntas de la sección 9. Después marca su columna en la Tabla «Registro de revisión del equipo»:</w:t>
      </w:r>
    </w:p>
    <w:p>
      <w:pPr>
        <w:keepNext/>
        <w:spacing w:before="160" w:after="60" w:line="276" w:lineRule="auto"/>
        <w:jc w:val="center"/>
      </w:pPr>
      <w:r>
        <w:rPr>
          <w:b/>
          <w:sz w:val="19"/>
        </w:rPr>
        <w:t xml:space="preserve">Tabla 2. </w:t>
      </w:r>
      <w:r>
        <w:rPr>
          <w:sz w:val="19"/>
        </w:rPr>
        <w:t>Qué significa cada marca</w:t>
      </w:r>
    </w:p>
    <w:tbl>
      <w:tblPr>
        <w:tblStyle w:val="Tabladecuadrcula4-nfasis11"/>
        <w:tblW w:type="dxa" w:w="9979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041"/>
        <w:gridCol w:w="3969"/>
        <w:gridCol w:w="3969"/>
      </w:tblGrid>
      <w:tr>
        <w:trPr>
          <w:tblHeader w:val="true"/>
          <w:cantSplit w:val="true"/>
        </w:trPr>
        <w:tc>
          <w:tcPr>
            <w:tcW w:type="dxa" w:w="2041"/>
          </w:tcPr>
          <w:p>
            <w:pPr>
              <w:keepNext/>
              <w:jc w:val="center"/>
            </w:pPr>
            <w:r/>
            <w:r>
              <w:rPr>
                <w:b/>
                <w:sz w:val="17"/>
              </w:rPr>
              <w:t>Marca</w:t>
            </w:r>
          </w:p>
        </w:tc>
        <w:tc>
          <w:tcPr>
            <w:tcW w:type="dxa" w:w="3969"/>
          </w:tcPr>
          <w:p>
            <w:pPr>
              <w:keepNext/>
              <w:jc w:val="center"/>
            </w:pPr>
            <w:r/>
            <w:r>
              <w:rPr>
                <w:b/>
                <w:sz w:val="17"/>
              </w:rPr>
              <w:t>Significado</w:t>
            </w:r>
          </w:p>
        </w:tc>
        <w:tc>
          <w:tcPr>
            <w:tcW w:type="dxa" w:w="3969"/>
          </w:tcPr>
          <w:p>
            <w:pPr>
              <w:keepNext/>
              <w:jc w:val="center"/>
            </w:pPr>
            <w:r/>
            <w:r>
              <w:rPr>
                <w:b/>
                <w:sz w:val="17"/>
              </w:rPr>
              <w:t>Qué hacer después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keepNext/>
              <w:spacing w:after="20"/>
            </w:pPr>
            <w:r/>
            <w:r>
              <w:rPr>
                <w:sz w:val="17"/>
              </w:rPr>
              <w:t>☑ Aprobado</w:t>
            </w:r>
          </w:p>
        </w:tc>
        <w:tc>
          <w:tcPr>
            <w:tcW w:type="dxa" w:w="3969"/>
          </w:tcPr>
          <w:p>
            <w:pPr>
              <w:keepNext/>
              <w:spacing w:after="20"/>
            </w:pPr>
            <w:r/>
            <w:r>
              <w:rPr>
                <w:sz w:val="17"/>
              </w:rPr>
              <w:t>Entiende la decisión, revisó el registro y la acepta</w:t>
            </w:r>
          </w:p>
        </w:tc>
        <w:tc>
          <w:tcPr>
            <w:tcW w:type="dxa" w:w="3969"/>
          </w:tcPr>
          <w:p>
            <w:pPr>
              <w:keepNext/>
              <w:spacing w:after="20"/>
            </w:pPr>
            <w:r/>
            <w:r>
              <w:rPr>
                <w:sz w:val="17"/>
              </w:rPr>
              <w:t>Anotar fecha e iniciales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keepNext/>
              <w:spacing w:after="20"/>
            </w:pPr>
            <w:r/>
            <w:r>
              <w:rPr>
                <w:sz w:val="17"/>
              </w:rPr>
              <w:t>☑ Requiere corrección</w:t>
            </w:r>
          </w:p>
        </w:tc>
        <w:tc>
          <w:tcPr>
            <w:tcW w:type="dxa" w:w="3969"/>
          </w:tcPr>
          <w:p>
            <w:pPr>
              <w:keepNext/>
              <w:spacing w:after="20"/>
            </w:pPr>
            <w:r/>
            <w:r>
              <w:rPr>
                <w:sz w:val="17"/>
              </w:rPr>
              <w:t>Encontró un error o no está de acuerdo</w:t>
            </w:r>
          </w:p>
        </w:tc>
        <w:tc>
          <w:tcPr>
            <w:tcW w:type="dxa" w:w="3969"/>
          </w:tcPr>
          <w:p>
            <w:pPr>
              <w:keepNext/>
              <w:spacing w:after="20"/>
            </w:pPr>
            <w:r/>
            <w:r>
              <w:rPr>
                <w:sz w:val="17"/>
              </w:rPr>
              <w:t>Describir el problema en una línea; corregir antes de entregar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7"/>
              </w:rPr>
              <w:t>☐ Pendiente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sz w:val="17"/>
              </w:rPr>
              <w:t>Todavía no revisa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sz w:val="17"/>
              </w:rPr>
              <w:t>No entregar mientras haya casillas pendientes</w:t>
            </w:r>
          </w:p>
        </w:tc>
      </w:tr>
    </w:tbl>
    <w:p>
      <w:pPr>
        <w:spacing w:before="0" w:after="40" w:line="276" w:lineRule="auto"/>
        <w:jc w:val="both"/>
      </w:pPr>
    </w:p>
    <w:p>
      <w:pPr>
        <w:spacing w:before="0" w:after="120" w:line="276" w:lineRule="auto"/>
        <w:jc w:val="both"/>
      </w:pPr>
      <w:r>
        <w:t xml:space="preserve">Copien las mismas marcas en la sección 6 de </w:t>
      </w:r>
      <w:r>
        <w:rPr>
          <w:rFonts w:ascii="Consolas" w:hAnsi="Consolas" w:eastAsia="Consolas"/>
          <w:sz w:val="18"/>
        </w:rPr>
        <w:t>bitacora_uso_IA.md</w:t>
      </w:r>
      <w:r>
        <w:t xml:space="preserve"> para que ambas versiones coincidan. Las decisiones D-1 a D-5 (sección 7 de la bitácora) se toman en equipo y se anota la opción elegida en la columna «Aprobación». Cada integrante reescribe su conclusión individual del reporte (sección 9) con sus propias palabras y se borra la nota «Texto propuesto».</w:t>
      </w:r>
    </w:p>
    <w:p>
      <w:pPr>
        <w:pStyle w:val="Ttulo1"/>
        <w:keepNext/>
      </w:pPr>
      <w:r>
        <w:t>6. P-10: lista de verificación de la entrega</w:t>
      </w:r>
    </w:p>
    <w:p>
      <w:pPr>
        <w:spacing w:before="0" w:after="120" w:line="276" w:lineRule="auto"/>
        <w:jc w:val="both"/>
      </w:pPr>
      <w:r>
        <w:t>La columna «Verificado aquí» resume la comprobación hecha el 28/10/2026 sobre una extracción limpia del ZIP v2 (</w:t>
      </w:r>
      <w:r>
        <w:rPr>
          <w:rFonts w:ascii="Consolas" w:hAnsi="Consolas" w:eastAsia="Consolas"/>
          <w:sz w:val="18"/>
        </w:rPr>
        <w:t>Actividad5_CLN_Equipo16_v2.zip</w:t>
      </w:r>
      <w:r>
        <w:t>). La columna «Requiere al equipo» indica lo que solo ustedes pueden confirmar.</w:t>
      </w:r>
    </w:p>
    <w:p>
      <w:pPr>
        <w:keepNext/>
        <w:spacing w:before="160" w:after="60" w:line="276" w:lineRule="auto"/>
        <w:jc w:val="center"/>
      </w:pPr>
      <w:r>
        <w:rPr>
          <w:b/>
          <w:sz w:val="19"/>
        </w:rPr>
        <w:t xml:space="preserve">Tabla 3. </w:t>
      </w:r>
      <w:r>
        <w:rPr>
          <w:sz w:val="19"/>
        </w:rPr>
        <w:t>Lista de verificación</w:t>
      </w:r>
    </w:p>
    <w:tbl>
      <w:tblPr>
        <w:tblStyle w:val="Tabladecuadrcula4-nfasis11"/>
        <w:tblW w:type="dxa" w:w="9979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2721"/>
        <w:gridCol w:w="3061"/>
        <w:gridCol w:w="2381"/>
      </w:tblGrid>
      <w:tr>
        <w:trPr>
          <w:tblHeader w:val="true"/>
          <w:cantSplit w:val="true"/>
        </w:trPr>
        <w:tc>
          <w:tcPr>
            <w:tcW w:type="dxa" w:w="1814"/>
          </w:tcPr>
          <w:p>
            <w:pPr>
              <w:keepNext/>
              <w:jc w:val="center"/>
            </w:pPr>
            <w:r/>
            <w:r>
              <w:rPr>
                <w:b/>
                <w:sz w:val="15"/>
              </w:rPr>
              <w:t>Elemento</w:t>
            </w:r>
          </w:p>
        </w:tc>
        <w:tc>
          <w:tcPr>
            <w:tcW w:type="dxa" w:w="2721"/>
          </w:tcPr>
          <w:p>
            <w:pPr>
              <w:keepNext/>
              <w:jc w:val="center"/>
            </w:pPr>
            <w:r/>
            <w:r>
              <w:rPr>
                <w:b/>
                <w:sz w:val="15"/>
              </w:rPr>
              <w:t>Cómo verificar</w:t>
            </w:r>
          </w:p>
        </w:tc>
        <w:tc>
          <w:tcPr>
            <w:tcW w:type="dxa" w:w="3061"/>
          </w:tcPr>
          <w:p>
            <w:pPr>
              <w:keepNext/>
              <w:jc w:val="center"/>
            </w:pPr>
            <w:r/>
            <w:r>
              <w:rPr>
                <w:b/>
                <w:sz w:val="15"/>
              </w:rPr>
              <w:t>Verificado aquí (28/10/2026)</w:t>
            </w:r>
          </w:p>
        </w:tc>
        <w:tc>
          <w:tcPr>
            <w:tcW w:type="dxa" w:w="2381"/>
          </w:tcPr>
          <w:p>
            <w:pPr>
              <w:keepNext/>
              <w:jc w:val="center"/>
            </w:pPr>
            <w:r/>
            <w:r>
              <w:rPr>
                <w:b/>
                <w:sz w:val="15"/>
              </w:rPr>
              <w:t>Requiere al equipo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after="20"/>
            </w:pPr>
            <w:r/>
            <w:r>
              <w:rPr>
                <w:sz w:val="15"/>
              </w:rPr>
              <w:t>DOCX y PDF del reporte</w:t>
            </w:r>
          </w:p>
        </w:tc>
        <w:tc>
          <w:tcPr>
            <w:tcW w:type="dxa" w:w="2721"/>
          </w:tcPr>
          <w:p>
            <w:pPr>
              <w:keepNext/>
              <w:spacing w:after="20"/>
            </w:pPr>
            <w:r/>
            <w:r>
              <w:rPr>
                <w:sz w:val="15"/>
              </w:rPr>
              <w:t>Abrir ambos; revisar fecha, cifras, figuras</w:t>
            </w:r>
          </w:p>
        </w:tc>
        <w:tc>
          <w:tcPr>
            <w:tcW w:type="dxa" w:w="3061"/>
          </w:tcPr>
          <w:p>
            <w:pPr>
              <w:keepNext/>
              <w:spacing w:after="20"/>
            </w:pPr>
            <w:r/>
            <w:r>
              <w:rPr>
                <w:sz w:val="15"/>
              </w:rPr>
              <w:t>Generados y revisados página por página</w:t>
            </w:r>
          </w:p>
        </w:tc>
        <w:tc>
          <w:tcPr>
            <w:tcW w:type="dxa" w:w="2381"/>
          </w:tcPr>
          <w:p>
            <w:pPr>
              <w:keepNext/>
              <w:spacing w:after="20"/>
            </w:pPr>
            <w:r/>
            <w:r>
              <w:rPr>
                <w:sz w:val="15"/>
              </w:rPr>
              <w:t>Insertar E8 y URL; conclusiones propias; exportar PDF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after="20"/>
            </w:pPr>
            <w:r/>
            <w:r>
              <w:rPr>
                <w:sz w:val="15"/>
              </w:rPr>
              <w:t>Matrices</w:t>
            </w:r>
          </w:p>
        </w:tc>
        <w:tc>
          <w:tcPr>
            <w:tcW w:type="dxa" w:w="2721"/>
          </w:tcPr>
          <w:p>
            <w:pPr>
              <w:keepNext/>
              <w:spacing w:after="20"/>
            </w:pPr>
            <w:r/>
            <w:r>
              <w:rPr>
                <w:rFonts w:ascii="Consolas" w:hAnsi="Consolas" w:eastAsia="Consolas"/>
                <w:sz w:val="15"/>
              </w:rPr>
              <w:t>python herramientas/generar_matrices.py</w:t>
            </w:r>
            <w:r>
              <w:rPr>
                <w:sz w:val="15"/>
              </w:rPr>
              <w:t xml:space="preserve">; </w:t>
            </w:r>
            <w:r>
              <w:rPr>
                <w:rFonts w:ascii="Consolas" w:hAnsi="Consolas" w:eastAsia="Consolas"/>
                <w:sz w:val="15"/>
              </w:rPr>
              <w:t>git status</w:t>
            </w:r>
            <w:r>
              <w:rPr>
                <w:sz w:val="15"/>
              </w:rPr>
              <w:t xml:space="preserve"> sin cambios</w:t>
            </w:r>
          </w:p>
        </w:tc>
        <w:tc>
          <w:tcPr>
            <w:tcW w:type="dxa" w:w="3061"/>
          </w:tcPr>
          <w:p>
            <w:pPr>
              <w:keepNext/>
              <w:spacing w:after="20"/>
            </w:pPr>
            <w:r/>
            <w:r>
              <w:rPr>
                <w:sz w:val="15"/>
              </w:rPr>
              <w:t>Sí: base 27 (26 + 1 xfail), PIA 22/22; regenerarlas no cambia nada</w:t>
            </w:r>
          </w:p>
        </w:tc>
        <w:tc>
          <w:tcPr>
            <w:tcW w:type="dxa" w:w="2381"/>
          </w:tcPr>
          <w:p>
            <w:pPr>
              <w:keepNext/>
              <w:spacing w:after="20"/>
            </w:pPr>
            <w:r/>
            <w:r>
              <w:rPr>
                <w:sz w:val="15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after="20"/>
            </w:pPr>
            <w:r/>
            <w:r>
              <w:rPr>
                <w:sz w:val="15"/>
              </w:rPr>
              <w:t>Evidencias E1–E9</w:t>
            </w:r>
          </w:p>
        </w:tc>
        <w:tc>
          <w:tcPr>
            <w:tcW w:type="dxa" w:w="2721"/>
          </w:tcPr>
          <w:p>
            <w:pPr>
              <w:keepNext/>
              <w:spacing w:after="20"/>
            </w:pPr>
            <w:r/>
            <w:r>
              <w:rPr>
                <w:rFonts w:ascii="Consolas" w:hAnsi="Consolas" w:eastAsia="Consolas"/>
                <w:sz w:val="15"/>
              </w:rPr>
              <w:t>evidencias/README.md</w:t>
            </w:r>
          </w:p>
        </w:tc>
        <w:tc>
          <w:tcPr>
            <w:tcW w:type="dxa" w:w="3061"/>
          </w:tcPr>
          <w:p>
            <w:pPr>
              <w:keepNext/>
              <w:spacing w:after="20"/>
            </w:pPr>
            <w:r/>
            <w:r>
              <w:rPr>
                <w:sz w:val="15"/>
              </w:rPr>
              <w:t>E1–E7 y E9 completas en local</w:t>
            </w:r>
          </w:p>
        </w:tc>
        <w:tc>
          <w:tcPr>
            <w:tcW w:type="dxa" w:w="2381"/>
          </w:tcPr>
          <w:p>
            <w:pPr>
              <w:keepNext/>
              <w:spacing w:after="20"/>
            </w:pPr>
            <w:r/>
            <w:r>
              <w:rPr>
                <w:sz w:val="15"/>
              </w:rPr>
              <w:t>E8 en GitHub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after="20"/>
            </w:pPr>
            <w:r/>
            <w:r>
              <w:rPr>
                <w:sz w:val="15"/>
              </w:rPr>
              <w:t>Laboratorio</w:t>
            </w:r>
          </w:p>
        </w:tc>
        <w:tc>
          <w:tcPr>
            <w:tcW w:type="dxa" w:w="2721"/>
          </w:tcPr>
          <w:p>
            <w:pPr>
              <w:keepNext/>
              <w:spacing w:after="20"/>
            </w:pPr>
            <w:r/>
            <w:r>
              <w:rPr>
                <w:rFonts w:ascii="Consolas" w:hAnsi="Consolas" w:eastAsia="Consolas"/>
                <w:sz w:val="15"/>
              </w:rPr>
              <w:t>python -m pytest -v --cov=src --cov-fail-under=80</w:t>
            </w:r>
            <w:r>
              <w:rPr>
                <w:sz w:val="15"/>
              </w:rPr>
              <w:t>; Ruff</w:t>
            </w:r>
          </w:p>
        </w:tc>
        <w:tc>
          <w:tcPr>
            <w:tcW w:type="dxa" w:w="3061"/>
          </w:tcPr>
          <w:p>
            <w:pPr>
              <w:keepNext/>
              <w:spacing w:after="20"/>
            </w:pPr>
            <w:r/>
            <w:r>
              <w:rPr>
                <w:sz w:val="15"/>
              </w:rPr>
              <w:t xml:space="preserve">69 aprobadas, 1 xfail, 100 %; Ruff sin errores; también con </w:t>
            </w:r>
            <w:r>
              <w:rPr>
                <w:rFonts w:ascii="Consolas" w:hAnsi="Consolas" w:eastAsia="Consolas"/>
                <w:sz w:val="15"/>
              </w:rPr>
              <w:t>pytest</w:t>
            </w:r>
            <w:r>
              <w:rPr>
                <w:sz w:val="15"/>
              </w:rPr>
              <w:t xml:space="preserve"> directo</w:t>
            </w:r>
          </w:p>
        </w:tc>
        <w:tc>
          <w:tcPr>
            <w:tcW w:type="dxa" w:w="2381"/>
          </w:tcPr>
          <w:p>
            <w:pPr>
              <w:keepNext/>
              <w:spacing w:after="20"/>
            </w:pPr>
            <w:r/>
            <w:r>
              <w:rPr>
                <w:sz w:val="15"/>
              </w:rPr>
              <w:t>Repetir en Windows (opcional)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after="20"/>
            </w:pPr>
            <w:r/>
            <w:r>
              <w:rPr>
                <w:sz w:val="15"/>
              </w:rPr>
              <w:t>Repositorio y workflow</w:t>
            </w:r>
          </w:p>
        </w:tc>
        <w:tc>
          <w:tcPr>
            <w:tcW w:type="dxa" w:w="2721"/>
          </w:tcPr>
          <w:p>
            <w:pPr>
              <w:keepNext/>
              <w:spacing w:after="20"/>
            </w:pPr>
            <w:r/>
            <w:r>
              <w:rPr>
                <w:rFonts w:ascii="Consolas" w:hAnsi="Consolas" w:eastAsia="Consolas"/>
                <w:sz w:val="15"/>
              </w:rPr>
              <w:t>git log</w:t>
            </w:r>
            <w:r>
              <w:rPr>
                <w:sz w:val="15"/>
              </w:rPr>
              <w:t xml:space="preserve">; </w:t>
            </w:r>
            <w:r>
              <w:rPr>
                <w:rFonts w:ascii="Consolas" w:hAnsi="Consolas" w:eastAsia="Consolas"/>
                <w:sz w:val="15"/>
              </w:rPr>
              <w:t>ci.yml</w:t>
            </w:r>
          </w:p>
        </w:tc>
        <w:tc>
          <w:tcPr>
            <w:tcW w:type="dxa" w:w="3061"/>
          </w:tcPr>
          <w:p>
            <w:pPr>
              <w:keepNext/>
              <w:spacing w:after="20"/>
            </w:pPr>
            <w:r/>
            <w:r>
              <w:rPr>
                <w:sz w:val="15"/>
              </w:rPr>
              <w:t>Historial completo (incluye RED, GREEN y REFACTOR); YAML validado con actionlint</w:t>
            </w:r>
          </w:p>
        </w:tc>
        <w:tc>
          <w:tcPr>
            <w:tcW w:type="dxa" w:w="2381"/>
          </w:tcPr>
          <w:p>
            <w:pPr>
              <w:keepNext/>
              <w:spacing w:after="20"/>
            </w:pPr>
            <w:r/>
            <w:r>
              <w:rPr>
                <w:sz w:val="15"/>
              </w:rPr>
              <w:t>Push y Actions (P-03)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after="20"/>
            </w:pPr>
            <w:r/>
            <w:r>
              <w:rPr>
                <w:sz w:val="15"/>
              </w:rPr>
              <w:t>Código de Eventos Nova</w:t>
            </w:r>
          </w:p>
        </w:tc>
        <w:tc>
          <w:tcPr>
            <w:tcW w:type="dxa" w:w="2721"/>
          </w:tcPr>
          <w:p>
            <w:pPr>
              <w:keepNext/>
              <w:spacing w:after="20"/>
            </w:pPr>
            <w:r/>
            <w:r>
              <w:rPr>
                <w:rFonts w:ascii="Consolas" w:hAnsi="Consolas" w:eastAsia="Consolas"/>
                <w:sz w:val="15"/>
              </w:rPr>
              <w:t>pia_eventos_nova/Eventosnova</w:t>
            </w:r>
          </w:p>
        </w:tc>
        <w:tc>
          <w:tcPr>
            <w:tcW w:type="dxa" w:w="3061"/>
          </w:tcPr>
          <w:p>
            <w:pPr>
              <w:keepNext/>
              <w:spacing w:after="20"/>
            </w:pPr>
            <w:r/>
            <w:r>
              <w:rPr>
                <w:sz w:val="15"/>
              </w:rPr>
              <w:t>22 aprobadas con PostgreSQL; 19 + 3 omitidas sin él; 1 306 del equipo con 1 fallo de entorno</w:t>
            </w:r>
          </w:p>
        </w:tc>
        <w:tc>
          <w:tcPr>
            <w:tcW w:type="dxa" w:w="2381"/>
          </w:tcPr>
          <w:p>
            <w:pPr>
              <w:keepNext/>
              <w:spacing w:after="20"/>
            </w:pPr>
            <w:r/>
            <w:r>
              <w:rPr>
                <w:sz w:val="15"/>
              </w:rPr>
              <w:t>Integrar en su repositorio (P-05, P-06)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after="20"/>
            </w:pPr>
            <w:r/>
            <w:r>
              <w:rPr>
                <w:sz w:val="15"/>
              </w:rPr>
              <w:t>Bitácora de IA</w:t>
            </w:r>
          </w:p>
        </w:tc>
        <w:tc>
          <w:tcPr>
            <w:tcW w:type="dxa" w:w="2721"/>
          </w:tcPr>
          <w:p>
            <w:pPr>
              <w:keepNext/>
              <w:spacing w:after="20"/>
            </w:pPr>
            <w:r/>
            <w:r>
              <w:rPr>
                <w:sz w:val="15"/>
              </w:rPr>
              <w:t xml:space="preserve">DOCX y </w:t>
            </w:r>
            <w:r>
              <w:rPr>
                <w:rFonts w:ascii="Consolas" w:hAnsi="Consolas" w:eastAsia="Consolas"/>
                <w:sz w:val="15"/>
              </w:rPr>
              <w:t>.md</w:t>
            </w:r>
          </w:p>
        </w:tc>
        <w:tc>
          <w:tcPr>
            <w:tcW w:type="dxa" w:w="3061"/>
          </w:tcPr>
          <w:p>
            <w:pPr>
              <w:keepNext/>
              <w:spacing w:after="20"/>
            </w:pPr>
            <w:r/>
            <w:r>
              <w:rPr>
                <w:sz w:val="15"/>
              </w:rPr>
              <w:t>Coherentes; revisión del equipo pendiente</w:t>
            </w:r>
          </w:p>
        </w:tc>
        <w:tc>
          <w:tcPr>
            <w:tcW w:type="dxa" w:w="2381"/>
          </w:tcPr>
          <w:p>
            <w:pPr>
              <w:keepNext/>
              <w:spacing w:after="20"/>
            </w:pPr>
            <w:r/>
            <w:r>
              <w:rPr>
                <w:sz w:val="15"/>
              </w:rPr>
              <w:t>P-01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after="20"/>
            </w:pPr>
            <w:r/>
            <w:r>
              <w:rPr>
                <w:sz w:val="15"/>
              </w:rPr>
              <w:t>README y dependencias</w:t>
            </w:r>
          </w:p>
        </w:tc>
        <w:tc>
          <w:tcPr>
            <w:tcW w:type="dxa" w:w="2721"/>
          </w:tcPr>
          <w:p>
            <w:pPr>
              <w:keepNext/>
              <w:spacing w:after="20"/>
            </w:pPr>
            <w:r/>
            <w:r>
              <w:rPr>
                <w:rFonts w:ascii="Consolas" w:hAnsi="Consolas" w:eastAsia="Consolas"/>
                <w:sz w:val="15"/>
              </w:rPr>
              <w:t>README.md</w:t>
            </w:r>
            <w:r>
              <w:rPr>
                <w:sz w:val="15"/>
              </w:rPr>
              <w:t xml:space="preserve">, </w:t>
            </w:r>
            <w:r>
              <w:rPr>
                <w:rFonts w:ascii="Consolas" w:hAnsi="Consolas" w:eastAsia="Consolas"/>
                <w:sz w:val="15"/>
              </w:rPr>
              <w:t>requirements.txt</w:t>
            </w:r>
            <w:r>
              <w:rPr>
                <w:sz w:val="15"/>
              </w:rPr>
              <w:t xml:space="preserve">, </w:t>
            </w:r>
            <w:r>
              <w:rPr>
                <w:rFonts w:ascii="Consolas" w:hAnsi="Consolas" w:eastAsia="Consolas"/>
                <w:sz w:val="15"/>
              </w:rPr>
              <w:t>pia_eventos_nova/README.md</w:t>
            </w:r>
          </w:p>
        </w:tc>
        <w:tc>
          <w:tcPr>
            <w:tcW w:type="dxa" w:w="3061"/>
          </w:tcPr>
          <w:p>
            <w:pPr>
              <w:keepNext/>
              <w:spacing w:after="20"/>
            </w:pPr>
            <w:r/>
            <w:r>
              <w:rPr>
                <w:sz w:val="15"/>
              </w:rPr>
              <w:t>Actualizados</w:t>
            </w:r>
          </w:p>
        </w:tc>
        <w:tc>
          <w:tcPr>
            <w:tcW w:type="dxa" w:w="2381"/>
          </w:tcPr>
          <w:p>
            <w:pPr>
              <w:keepNext/>
              <w:spacing w:after="20"/>
            </w:pPr>
            <w:r/>
            <w:r>
              <w:rPr>
                <w:sz w:val="15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after="20"/>
            </w:pPr>
            <w:r/>
            <w:r>
              <w:rPr>
                <w:sz w:val="15"/>
              </w:rPr>
              <w:t>ZIP extraíble</w:t>
            </w:r>
          </w:p>
        </w:tc>
        <w:tc>
          <w:tcPr>
            <w:tcW w:type="dxa" w:w="2721"/>
          </w:tcPr>
          <w:p>
            <w:pPr>
              <w:keepNext/>
              <w:spacing w:after="20"/>
            </w:pPr>
            <w:r/>
            <w:r>
              <w:rPr>
                <w:sz w:val="15"/>
              </w:rPr>
              <w:t>Extraer en una carpeta nueva</w:t>
            </w:r>
          </w:p>
        </w:tc>
        <w:tc>
          <w:tcPr>
            <w:tcW w:type="dxa" w:w="3061"/>
          </w:tcPr>
          <w:p>
            <w:pPr>
              <w:keepNext/>
              <w:spacing w:after="20"/>
            </w:pPr>
            <w:r/>
            <w:r>
              <w:rPr>
                <w:sz w:val="15"/>
              </w:rPr>
              <w:t>Sí; las pruebas corren desde la copia extraída</w:t>
            </w:r>
          </w:p>
        </w:tc>
        <w:tc>
          <w:tcPr>
            <w:tcW w:type="dxa" w:w="2381"/>
          </w:tcPr>
          <w:p>
            <w:pPr>
              <w:keepNext/>
              <w:spacing w:after="20"/>
            </w:pPr>
            <w:r/>
            <w:r>
              <w:rPr>
                <w:sz w:val="15"/>
              </w:rPr>
              <w:t>Repetir con el ZIP final tras P-04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20"/>
            </w:pPr>
            <w:r/>
            <w:r>
              <w:rPr>
                <w:sz w:val="15"/>
              </w:rPr>
              <w:t xml:space="preserve">Sin </w:t>
            </w:r>
            <w:r>
              <w:rPr>
                <w:rFonts w:ascii="Consolas" w:hAnsi="Consolas" w:eastAsia="Consolas"/>
                <w:sz w:val="15"/>
              </w:rPr>
              <w:t>.venv</w:t>
            </w:r>
            <w:r>
              <w:rPr>
                <w:sz w:val="15"/>
              </w:rPr>
              <w:t>, cachés ni credenciales</w:t>
            </w:r>
          </w:p>
        </w:tc>
        <w:tc>
          <w:tcPr>
            <w:tcW w:type="dxa" w:w="2721"/>
          </w:tcPr>
          <w:p>
            <w:pPr>
              <w:spacing w:after="20"/>
            </w:pPr>
            <w:r/>
            <w:r>
              <w:rPr>
                <w:sz w:val="15"/>
              </w:rPr>
              <w:t xml:space="preserve">Buscar </w:t>
            </w:r>
            <w:r>
              <w:rPr>
                <w:rFonts w:ascii="Consolas" w:hAnsi="Consolas" w:eastAsia="Consolas"/>
                <w:sz w:val="15"/>
              </w:rPr>
              <w:t>.venv</w:t>
            </w:r>
            <w:r>
              <w:rPr>
                <w:sz w:val="15"/>
              </w:rPr>
              <w:t xml:space="preserve">, </w:t>
            </w:r>
            <w:r>
              <w:rPr>
                <w:rFonts w:ascii="Consolas" w:hAnsi="Consolas" w:eastAsia="Consolas"/>
                <w:sz w:val="15"/>
              </w:rPr>
              <w:t>__pycache__</w:t>
            </w:r>
            <w:r>
              <w:rPr>
                <w:sz w:val="15"/>
              </w:rPr>
              <w:t xml:space="preserve">, </w:t>
            </w:r>
            <w:r>
              <w:rPr>
                <w:rFonts w:ascii="Consolas" w:hAnsi="Consolas" w:eastAsia="Consolas"/>
                <w:sz w:val="15"/>
              </w:rPr>
              <w:t>.env</w:t>
            </w:r>
            <w:r>
              <w:rPr>
                <w:sz w:val="15"/>
              </w:rPr>
              <w:t>, llaves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5"/>
              </w:rPr>
              <w:t xml:space="preserve">Ninguno encontrado; </w:t>
            </w:r>
            <w:r>
              <w:rPr>
                <w:rFonts w:ascii="Consolas" w:hAnsi="Consolas" w:eastAsia="Consolas"/>
                <w:sz w:val="15"/>
              </w:rPr>
              <w:t>.env.example</w:t>
            </w:r>
            <w:r>
              <w:rPr>
                <w:sz w:val="15"/>
              </w:rPr>
              <w:t xml:space="preserve"> solo tiene valores de ejemplo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5"/>
              </w:rPr>
              <w:t>Revisar de nuevo si agregan archivos</w:t>
            </w:r>
          </w:p>
        </w:tc>
      </w:tr>
    </w:tbl>
    <w:p>
      <w:pPr>
        <w:spacing w:before="0" w:after="40" w:line="276" w:lineRule="auto"/>
        <w:jc w:val="both"/>
      </w:pPr>
    </w:p>
    <w:p>
      <w:pPr>
        <w:spacing w:before="0" w:after="120" w:line="276" w:lineRule="auto"/>
        <w:jc w:val="both"/>
      </w:pPr>
      <w:r>
        <w:t xml:space="preserve">Cuando todas las filas estén completas, generen el ZIP final desde la carpeta del laboratorio (sin </w:t>
      </w:r>
      <w:r>
        <w:rPr>
          <w:rFonts w:ascii="Consolas" w:hAnsi="Consolas" w:eastAsia="Consolas"/>
          <w:sz w:val="18"/>
        </w:rPr>
        <w:t>.venv</w:t>
      </w:r>
      <w:r>
        <w:t xml:space="preserve">) y vuelvan a extraerlo en una carpeta nueva para comprobar que se abre y que </w:t>
      </w:r>
      <w:r>
        <w:rPr>
          <w:rFonts w:ascii="Consolas" w:hAnsi="Consolas" w:eastAsia="Consolas"/>
          <w:sz w:val="18"/>
        </w:rPr>
        <w:t>python -m pytest</w:t>
      </w:r>
      <w:r>
        <w:t xml:space="preserve"> funciona.</w:t>
      </w:r>
    </w:p>
    <w:sectPr w:rsidR="00020A75">
      <w:headerReference w:type="default" r:id="rId13"/>
      <w:footerReference w:type="default" r:id="rId14"/>
      <w:pgSz w:w="12240" w:h="15840"/>
      <w:pgMar w:top="1900" w:right="1080" w:bottom="1300" w:left="1080" w:header="500" w:footer="4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0B7B30" w14:textId="77777777" w:rsidR="007D62B8" w:rsidRDefault="007D62B8">
      <w:r>
        <w:separator/>
      </w:r>
    </w:p>
  </w:endnote>
  <w:endnote w:type="continuationSeparator" w:id="0">
    <w:p w14:paraId="1501006A" w14:textId="77777777" w:rsidR="007D62B8" w:rsidRDefault="007D62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5040"/>
      <w:gridCol w:w="5040"/>
    </w:tblGrid>
    <w:tr w:rsidR="001511A5" w14:paraId="566CDD91" w14:textId="77777777">
      <w:tc>
        <w:tcPr>
          <w:tcW w:w="504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09F6D988" w14:textId="77777777" w:rsidR="001511A5" w:rsidRDefault="001511A5">
          <w:r>
            <w:rPr>
              <w:color w:val="595959"/>
              <w:sz w:val="16"/>
              <w:szCs w:val="16"/>
            </w:rPr>
            <w:t xml:space="preserve">Página </w:t>
          </w:r>
          <w:r>
            <w:rPr>
              <w:color w:val="595959"/>
              <w:sz w:val="16"/>
              <w:szCs w:val="16"/>
            </w:rPr>
            <w:fldChar w:fldCharType="begin"/>
          </w:r>
          <w:r>
            <w:rPr>
              <w:color w:val="595959"/>
              <w:sz w:val="16"/>
              <w:szCs w:val="16"/>
            </w:rPr>
            <w:instrText>PAGE</w:instrText>
          </w:r>
          <w:r>
            <w:rPr>
              <w:color w:val="595959"/>
              <w:sz w:val="16"/>
              <w:szCs w:val="16"/>
            </w:rPr>
            <w:fldChar w:fldCharType="separate"/>
          </w:r>
          <w:r w:rsidR="006D15A4">
            <w:rPr>
              <w:noProof/>
              <w:color w:val="595959"/>
              <w:sz w:val="16"/>
              <w:szCs w:val="16"/>
            </w:rPr>
            <w:t>27</w:t>
          </w:r>
          <w:r>
            <w:rPr>
              <w:color w:val="595959"/>
              <w:sz w:val="16"/>
              <w:szCs w:val="16"/>
            </w:rPr>
            <w:fldChar w:fldCharType="end"/>
          </w:r>
        </w:p>
      </w:tc>
      <w:tc>
        <w:tcPr>
          <w:tcW w:w="504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5E03E4C9" w14:textId="77777777" w:rsidR="001511A5" w:rsidRDefault="001511A5">
          <w:pPr>
            <w:jc w:val="right"/>
          </w:pPr>
          <w:r>
            <w:rPr>
              <w:noProof/>
            </w:rPr>
            <w:drawing>
              <wp:inline distT="0" distB="0" distL="0" distR="0" wp14:anchorId="10BC814F" wp14:editId="2AB967C7">
                <wp:extent cx="762000" cy="381000"/>
                <wp:effectExtent l="0" t="0" r="0" b="0"/>
                <wp:docPr id="3" name="p1-002.png" descr="logo institucional" title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62000" cy="381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sz w:val="16"/>
      </w:rPr>
      <w:t xml:space="preserve">Página </w:t>
    </w:r>
    <w:r>
      <w:rPr>
        <w:sz w:val="16"/>
      </w:rPr>
      <w:fldChar w:fldCharType="begin"/>
    </w:r>
    <w:r>
      <w:rPr>
        <w:sz w:val="16"/>
      </w:rPr>
      <w:instrText xml:space="preserve">PAGE</w:instrTex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8E53FC" w14:textId="77777777" w:rsidR="007D62B8" w:rsidRDefault="007D62B8">
      <w:r>
        <w:separator/>
      </w:r>
    </w:p>
  </w:footnote>
  <w:footnote w:type="continuationSeparator" w:id="0">
    <w:p w14:paraId="41F0F66C" w14:textId="77777777" w:rsidR="007D62B8" w:rsidRDefault="007D62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5040"/>
      <w:gridCol w:w="5040"/>
    </w:tblGrid>
    <w:tr w:rsidR="001511A5" w14:paraId="7EFF63F9" w14:textId="77777777">
      <w:tc>
        <w:tcPr>
          <w:tcW w:w="504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39AF65B3" w14:textId="77777777" w:rsidR="001511A5" w:rsidRDefault="001511A5">
          <w:r>
            <w:rPr>
              <w:noProof/>
            </w:rPr>
            <w:drawing>
              <wp:inline distT="0" distB="0" distL="0" distR="0" wp14:anchorId="0F26F91E" wp14:editId="652FAD97">
                <wp:extent cx="1238250" cy="581025"/>
                <wp:effectExtent l="0" t="0" r="0" b="0"/>
                <wp:docPr id="1" name="p1-000.png" descr="logo institucional" title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8250" cy="5810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4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18DD5B2C" w14:textId="77777777" w:rsidR="001511A5" w:rsidRDefault="001511A5">
          <w:pPr>
            <w:jc w:val="right"/>
          </w:pPr>
          <w:r>
            <w:rPr>
              <w:noProof/>
            </w:rPr>
            <w:drawing>
              <wp:inline distT="0" distB="0" distL="0" distR="0" wp14:anchorId="712374CF" wp14:editId="78452C2C">
                <wp:extent cx="1009650" cy="571500"/>
                <wp:effectExtent l="0" t="0" r="0" b="0"/>
                <wp:docPr id="2" name="p1-001.png" descr="logo institucional" title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9650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26AB421E" w14:textId="77777777" w:rsidR="001511A5" w:rsidRDefault="001511A5">
    <w:pPr>
      <w:spacing w:before="60"/>
      <w:jc w:val="right"/>
    </w:pPr>
    <w:r>
      <w:rPr>
        <w:sz w:val="18"/>
        <w:szCs w:val="18"/>
      </w:rPr>
      <w:t>Reporte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A2D3A"/>
    <w:multiLevelType w:val="hybridMultilevel"/>
    <w:tmpl w:val="A7FE6416"/>
    <w:lvl w:ilvl="0" w:tplc="3CC81892">
      <w:start w:val="1"/>
      <w:numFmt w:val="bullet"/>
      <w:lvlText w:val="•"/>
      <w:lvlJc w:val="left"/>
      <w:pPr>
        <w:ind w:left="540" w:hanging="270"/>
      </w:pPr>
    </w:lvl>
    <w:lvl w:ilvl="1" w:tplc="F2680628">
      <w:numFmt w:val="decimal"/>
      <w:lvlText w:val=""/>
      <w:lvlJc w:val="left"/>
    </w:lvl>
    <w:lvl w:ilvl="2" w:tplc="82683960">
      <w:numFmt w:val="decimal"/>
      <w:lvlText w:val=""/>
      <w:lvlJc w:val="left"/>
    </w:lvl>
    <w:lvl w:ilvl="3" w:tplc="67689482">
      <w:numFmt w:val="decimal"/>
      <w:lvlText w:val=""/>
      <w:lvlJc w:val="left"/>
    </w:lvl>
    <w:lvl w:ilvl="4" w:tplc="D6841056">
      <w:numFmt w:val="decimal"/>
      <w:lvlText w:val=""/>
      <w:lvlJc w:val="left"/>
    </w:lvl>
    <w:lvl w:ilvl="5" w:tplc="3300F066">
      <w:numFmt w:val="decimal"/>
      <w:lvlText w:val=""/>
      <w:lvlJc w:val="left"/>
    </w:lvl>
    <w:lvl w:ilvl="6" w:tplc="FDC8A470">
      <w:numFmt w:val="decimal"/>
      <w:lvlText w:val=""/>
      <w:lvlJc w:val="left"/>
    </w:lvl>
    <w:lvl w:ilvl="7" w:tplc="E1ECB744">
      <w:numFmt w:val="decimal"/>
      <w:lvlText w:val=""/>
      <w:lvlJc w:val="left"/>
    </w:lvl>
    <w:lvl w:ilvl="8" w:tplc="6460288E">
      <w:numFmt w:val="decimal"/>
      <w:lvlText w:val=""/>
      <w:lvlJc w:val="left"/>
    </w:lvl>
  </w:abstractNum>
  <w:abstractNum w:abstractNumId="1" w15:restartNumberingAfterBreak="0">
    <w:nsid w:val="2F045F2A"/>
    <w:multiLevelType w:val="hybridMultilevel"/>
    <w:tmpl w:val="1E2AA57A"/>
    <w:lvl w:ilvl="0" w:tplc="A654667A">
      <w:start w:val="1"/>
      <w:numFmt w:val="bullet"/>
      <w:lvlText w:val="●"/>
      <w:lvlJc w:val="left"/>
      <w:pPr>
        <w:ind w:left="720" w:hanging="360"/>
      </w:pPr>
    </w:lvl>
    <w:lvl w:ilvl="1" w:tplc="EB40B798">
      <w:start w:val="1"/>
      <w:numFmt w:val="bullet"/>
      <w:lvlText w:val="○"/>
      <w:lvlJc w:val="left"/>
      <w:pPr>
        <w:ind w:left="1440" w:hanging="360"/>
      </w:pPr>
    </w:lvl>
    <w:lvl w:ilvl="2" w:tplc="AFE21656">
      <w:start w:val="1"/>
      <w:numFmt w:val="bullet"/>
      <w:lvlText w:val="■"/>
      <w:lvlJc w:val="left"/>
      <w:pPr>
        <w:ind w:left="2160" w:hanging="360"/>
      </w:pPr>
    </w:lvl>
    <w:lvl w:ilvl="3" w:tplc="5756DBD6">
      <w:start w:val="1"/>
      <w:numFmt w:val="bullet"/>
      <w:lvlText w:val="●"/>
      <w:lvlJc w:val="left"/>
      <w:pPr>
        <w:ind w:left="2880" w:hanging="360"/>
      </w:pPr>
    </w:lvl>
    <w:lvl w:ilvl="4" w:tplc="648496AC">
      <w:start w:val="1"/>
      <w:numFmt w:val="bullet"/>
      <w:lvlText w:val="○"/>
      <w:lvlJc w:val="left"/>
      <w:pPr>
        <w:ind w:left="3600" w:hanging="360"/>
      </w:pPr>
    </w:lvl>
    <w:lvl w:ilvl="5" w:tplc="E3B67FB0">
      <w:start w:val="1"/>
      <w:numFmt w:val="bullet"/>
      <w:lvlText w:val="■"/>
      <w:lvlJc w:val="left"/>
      <w:pPr>
        <w:ind w:left="4320" w:hanging="360"/>
      </w:pPr>
    </w:lvl>
    <w:lvl w:ilvl="6" w:tplc="0C4616D0">
      <w:start w:val="1"/>
      <w:numFmt w:val="bullet"/>
      <w:lvlText w:val="●"/>
      <w:lvlJc w:val="left"/>
      <w:pPr>
        <w:ind w:left="5040" w:hanging="360"/>
      </w:pPr>
    </w:lvl>
    <w:lvl w:ilvl="7" w:tplc="A8264E3C">
      <w:start w:val="1"/>
      <w:numFmt w:val="bullet"/>
      <w:lvlText w:val="●"/>
      <w:lvlJc w:val="left"/>
      <w:pPr>
        <w:ind w:left="5760" w:hanging="360"/>
      </w:pPr>
    </w:lvl>
    <w:lvl w:ilvl="8" w:tplc="C0145D0C">
      <w:start w:val="1"/>
      <w:numFmt w:val="bullet"/>
      <w:lvlText w:val="●"/>
      <w:lvlJc w:val="left"/>
      <w:pPr>
        <w:ind w:left="6480" w:hanging="360"/>
      </w:pPr>
    </w:lvl>
  </w:abstractNum>
  <w:num w:numId="1" w16cid:durableId="1733651061">
    <w:abstractNumId w:val="1"/>
    <w:lvlOverride w:ilvl="0">
      <w:startOverride w:val="1"/>
    </w:lvlOverride>
  </w:num>
  <w:num w:numId="2" w16cid:durableId="13586996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0A75"/>
    <w:rsid w:val="00020A75"/>
    <w:rsid w:val="000D249F"/>
    <w:rsid w:val="001511A5"/>
    <w:rsid w:val="001D2FFC"/>
    <w:rsid w:val="002F6089"/>
    <w:rsid w:val="004F4F12"/>
    <w:rsid w:val="00594482"/>
    <w:rsid w:val="006431CD"/>
    <w:rsid w:val="00643AE0"/>
    <w:rsid w:val="006D15A4"/>
    <w:rsid w:val="007D62B8"/>
    <w:rsid w:val="00AB095E"/>
    <w:rsid w:val="00AF5124"/>
    <w:rsid w:val="00CB58CA"/>
    <w:rsid w:val="00D700AD"/>
    <w:rsid w:val="00DA12CB"/>
    <w:rsid w:val="00DF2BC9"/>
    <w:rsid w:val="00E2008A"/>
    <w:rsid w:val="00FB6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B6064"/>
  <w15:docId w15:val="{7A4E9C5A-68C4-44A6-B900-CBC37AAC8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qFormat/>
    <w:pPr>
      <w:spacing w:before="280" w:after="110"/>
      <w:outlineLvl w:val="0"/>
    </w:pPr>
    <w:rPr>
      <w:b/>
      <w:bCs/>
      <w:color w:val="1F3864"/>
      <w:sz w:val="25"/>
      <w:szCs w:val="25"/>
    </w:rPr>
  </w:style>
  <w:style w:type="paragraph" w:styleId="Ttulo2">
    <w:name w:val="heading 2"/>
    <w:qFormat/>
    <w:pPr>
      <w:spacing w:before="200" w:after="90"/>
      <w:outlineLvl w:val="1"/>
    </w:pPr>
    <w:rPr>
      <w:b/>
      <w:bCs/>
      <w:color w:val="2E5C9A"/>
      <w:sz w:val="22"/>
      <w:szCs w:val="22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table" w:customStyle="1" w:styleId="Tabladecuadrcula4-nfasis11">
    <w:name w:val="Tabla de cuadrícula 4 - Énfasis 11"/>
    <w:basedOn w:val="Tablanormal"/>
    <w:next w:val="Tablaconcuadrcula4-nfasis1"/>
    <w:uiPriority w:val="49"/>
    <w:rsid w:val="00AF5124"/>
    <w:rPr>
      <w:rFonts w:ascii="Segoe UI" w:eastAsia="Segoe UI" w:hAnsi="Segoe UI" w:cs="Times New Roman"/>
      <w:sz w:val="22"/>
      <w:szCs w:val="22"/>
      <w:lang w:val="es-ES" w:eastAsia="en-US"/>
    </w:r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styleId="Tablaconcuadrcula4-nfasis1">
    <w:name w:val="Grid Table 4 Accent 1"/>
    <w:basedOn w:val="Tablanormal"/>
    <w:uiPriority w:val="49"/>
    <w:rsid w:val="00AF5124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concuadrcula4-nfasis5">
    <w:name w:val="Grid Table 4 Accent 5"/>
    <w:basedOn w:val="Tablanormal"/>
    <w:uiPriority w:val="49"/>
    <w:rsid w:val="006431CD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Relationship Id="rId17" Type="http://schemas.openxmlformats.org/officeDocument/2006/relationships/image" Target="media/image10.png"/><Relationship Id="rId18" Type="http://schemas.openxmlformats.org/officeDocument/2006/relationships/footer" Target="foot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9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8957</Words>
  <Characters>51061</Characters>
  <Application>Microsoft Office Word</Application>
  <DocSecurity>0</DocSecurity>
  <Lines>425</Lines>
  <Paragraphs>119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Reporte FIME - Eventos Nova - Unidad 3</vt:lpstr>
    </vt:vector>
  </TitlesOfParts>
  <Company/>
  <LinksUpToDate>false</LinksUpToDate>
  <CharactersWithSpaces>59899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Reporte FIME - Eventos Nova - Unidad 3</dc:title>
  <dc:subject/>
  <dc:creator>Equipo 16</dc:creator>
  <cp:keywords/>
  <dc:description/>
  <cp:lastModifiedBy>Lesly Adamaris Cotlame Nieto</cp:lastModifiedBy>
  <cp:revision>4</cp:revision>
  <cp:lastPrinted>2026-10-15T02:47:00Z</cp:lastPrinted>
  <dcterms:created xsi:type="dcterms:W3CDTF">2026-10-13T10:49:00Z</dcterms:created>
  <dcterms:modified xsi:type="dcterms:W3CDTF">2026-10-15T02:50:00Z</dcterms:modified>
</cp:coreProperties>
</file>