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680"/>
      </w:tblGrid>
      <w:tr w:rsidR="00020A75" w14:paraId="57A98E1E" w14:textId="77777777">
        <w:tc>
          <w:tcPr>
            <w:tcW w:w="10080" w:type="dxa"/>
            <w:gridSpan w:val="2"/>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66D3C27" w14:textId="77777777" w:rsidR="00020A75" w:rsidRDefault="001511A5">
            <w:pPr>
              <w:spacing w:after="40"/>
              <w:jc w:val="center"/>
            </w:pPr>
            <w:r>
              <w:rPr>
                <w:b/>
                <w:bCs/>
                <w:sz w:val="20"/>
                <w:szCs w:val="20"/>
              </w:rPr>
              <w:t>Equipo 16</w:t>
            </w:r>
          </w:p>
        </w:tc>
      </w:tr>
      <w:tr w:rsidR="00020A75" w14:paraId="3323AA21" w14:textId="77777777">
        <w:tc>
          <w:tcPr>
            <w:tcW w:w="6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EBDF422" w14:textId="77777777" w:rsidR="00020A75" w:rsidRPr="001511A5" w:rsidRDefault="001511A5">
            <w:pPr>
              <w:spacing w:after="40"/>
              <w:rPr>
                <w:lang w:val="en-US"/>
              </w:rPr>
            </w:pPr>
            <w:r w:rsidRPr="001511A5">
              <w:rPr>
                <w:b/>
                <w:bCs/>
                <w:sz w:val="20"/>
                <w:szCs w:val="20"/>
                <w:lang w:val="en-US"/>
              </w:rPr>
              <w:t>Nombre</w:t>
            </w:r>
            <w:r w:rsidRPr="001511A5">
              <w:rPr>
                <w:sz w:val="20"/>
                <w:szCs w:val="20"/>
                <w:lang w:val="en-US"/>
              </w:rPr>
              <w:t>:</w:t>
            </w:r>
          </w:p>
          <w:p w14:paraId="784B9104" w14:textId="77777777" w:rsidR="00020A75" w:rsidRPr="001511A5" w:rsidRDefault="00020A75">
            <w:pPr>
              <w:spacing w:after="40"/>
              <w:rPr>
                <w:lang w:val="en-US"/>
              </w:rPr>
            </w:pPr>
          </w:p>
          <w:p w14:paraId="06075066" w14:textId="77777777" w:rsidR="00020A75" w:rsidRPr="001511A5" w:rsidRDefault="001511A5">
            <w:pPr>
              <w:spacing w:after="40"/>
              <w:rPr>
                <w:lang w:val="en-US"/>
              </w:rPr>
            </w:pPr>
            <w:r w:rsidRPr="001511A5">
              <w:rPr>
                <w:sz w:val="20"/>
                <w:szCs w:val="20"/>
                <w:lang w:val="en-US"/>
              </w:rPr>
              <w:t>Lesly Adamaris Cotlame Nieto</w:t>
            </w:r>
          </w:p>
          <w:p w14:paraId="61A41BF7" w14:textId="77777777" w:rsidR="00020A75" w:rsidRPr="001511A5" w:rsidRDefault="00020A75">
            <w:pPr>
              <w:spacing w:after="40"/>
              <w:rPr>
                <w:lang w:val="en-US"/>
              </w:rPr>
            </w:pPr>
          </w:p>
          <w:p w14:paraId="6FD1B46F" w14:textId="77777777" w:rsidR="00020A75" w:rsidRPr="001511A5" w:rsidRDefault="001511A5">
            <w:pPr>
              <w:spacing w:after="40"/>
              <w:rPr>
                <w:lang w:val="en-US"/>
              </w:rPr>
            </w:pPr>
            <w:r w:rsidRPr="001511A5">
              <w:rPr>
                <w:sz w:val="20"/>
                <w:szCs w:val="20"/>
                <w:lang w:val="en-US"/>
              </w:rPr>
              <w:t>Christopher Bethancourt Contreras</w:t>
            </w:r>
          </w:p>
          <w:p w14:paraId="5B040121" w14:textId="77777777" w:rsidR="00020A75" w:rsidRPr="001511A5" w:rsidRDefault="00020A75">
            <w:pPr>
              <w:spacing w:after="40"/>
              <w:rPr>
                <w:lang w:val="en-US"/>
              </w:rPr>
            </w:pPr>
          </w:p>
          <w:p w14:paraId="43AC441A" w14:textId="77777777" w:rsidR="00020A75" w:rsidRDefault="001511A5">
            <w:pPr>
              <w:spacing w:after="40"/>
            </w:pPr>
            <w:r>
              <w:rPr>
                <w:sz w:val="20"/>
                <w:szCs w:val="20"/>
              </w:rPr>
              <w:t>Francisco Mora Ruiz</w:t>
            </w:r>
          </w:p>
        </w:tc>
        <w:tc>
          <w:tcPr>
            <w:tcW w:w="368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42BD6F9D" w14:textId="77777777" w:rsidR="00020A75" w:rsidRDefault="001511A5">
            <w:pPr>
              <w:spacing w:after="40"/>
            </w:pPr>
            <w:r>
              <w:rPr>
                <w:b/>
                <w:bCs/>
                <w:sz w:val="20"/>
                <w:szCs w:val="20"/>
              </w:rPr>
              <w:t>Matrícula</w:t>
            </w:r>
            <w:r>
              <w:rPr>
                <w:sz w:val="20"/>
                <w:szCs w:val="20"/>
              </w:rPr>
              <w:t>:</w:t>
            </w:r>
          </w:p>
          <w:p w14:paraId="786FAF86" w14:textId="77777777" w:rsidR="00020A75" w:rsidRDefault="00020A75">
            <w:pPr>
              <w:spacing w:after="40"/>
            </w:pPr>
          </w:p>
          <w:p w14:paraId="6FADB18C" w14:textId="77777777" w:rsidR="00020A75" w:rsidRDefault="001511A5">
            <w:pPr>
              <w:spacing w:after="40"/>
            </w:pPr>
            <w:r>
              <w:rPr>
                <w:sz w:val="20"/>
                <w:szCs w:val="20"/>
              </w:rPr>
              <w:t>2226958</w:t>
            </w:r>
          </w:p>
          <w:p w14:paraId="75812A16" w14:textId="77777777" w:rsidR="00020A75" w:rsidRDefault="00020A75">
            <w:pPr>
              <w:spacing w:after="40"/>
            </w:pPr>
          </w:p>
          <w:p w14:paraId="77389349" w14:textId="77777777" w:rsidR="00020A75" w:rsidRDefault="001511A5">
            <w:pPr>
              <w:spacing w:after="40"/>
            </w:pPr>
            <w:r>
              <w:rPr>
                <w:sz w:val="20"/>
                <w:szCs w:val="20"/>
              </w:rPr>
              <w:t>2226948</w:t>
            </w:r>
          </w:p>
          <w:p w14:paraId="50775D1E" w14:textId="77777777" w:rsidR="00020A75" w:rsidRDefault="00020A75">
            <w:pPr>
              <w:spacing w:after="40"/>
            </w:pPr>
          </w:p>
          <w:p w14:paraId="0E3C1CA5" w14:textId="77777777" w:rsidR="00020A75" w:rsidRDefault="001511A5">
            <w:pPr>
              <w:spacing w:after="40"/>
            </w:pPr>
            <w:r>
              <w:rPr>
                <w:sz w:val="20"/>
                <w:szCs w:val="20"/>
              </w:rPr>
              <w:t>2226912</w:t>
            </w:r>
          </w:p>
        </w:tc>
      </w:tr>
      <w:tr w:rsidR="00020A75" w14:paraId="7C65AFE7" w14:textId="77777777">
        <w:tc>
          <w:tcPr>
            <w:tcW w:w="6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7A4272B3" w14:textId="77777777" w:rsidR="00020A75" w:rsidRDefault="001511A5">
            <w:pPr>
              <w:spacing w:after="40"/>
            </w:pPr>
            <w:r>
              <w:rPr>
                <w:b/>
                <w:bCs/>
                <w:sz w:val="20"/>
                <w:szCs w:val="20"/>
              </w:rPr>
              <w:t>Nombre del curso:</w:t>
            </w:r>
            <w:r>
              <w:rPr>
                <w:sz w:val="20"/>
                <w:szCs w:val="20"/>
              </w:rPr>
              <w:t xml:space="preserve"> Componentes de lógica de negocios.</w:t>
            </w:r>
          </w:p>
        </w:tc>
        <w:tc>
          <w:tcPr>
            <w:tcW w:w="368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2373E80" w14:textId="77777777" w:rsidR="00020A75" w:rsidRDefault="001511A5">
            <w:pPr>
              <w:spacing w:after="40"/>
            </w:pPr>
            <w:r>
              <w:rPr>
                <w:b/>
                <w:bCs/>
                <w:sz w:val="20"/>
                <w:szCs w:val="20"/>
              </w:rPr>
              <w:t>Nombre del profesor</w:t>
            </w:r>
            <w:r>
              <w:rPr>
                <w:sz w:val="20"/>
                <w:szCs w:val="20"/>
              </w:rPr>
              <w:t>: Miguel Ángel Gómez Marroquín</w:t>
            </w:r>
          </w:p>
        </w:tc>
      </w:tr>
      <w:tr w:rsidR="00020A75" w14:paraId="46A415E1" w14:textId="77777777">
        <w:tc>
          <w:tcPr>
            <w:tcW w:w="640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641A3756" w14:textId="77777777" w:rsidR="00020A75" w:rsidRDefault="001511A5">
            <w:pPr>
              <w:spacing w:after="40"/>
            </w:pPr>
            <w:r>
              <w:rPr>
                <w:b/>
                <w:bCs/>
                <w:sz w:val="20"/>
                <w:szCs w:val="20"/>
              </w:rPr>
              <w:t>Modulo Netacad</w:t>
            </w:r>
            <w:r>
              <w:rPr>
                <w:sz w:val="20"/>
                <w:szCs w:val="20"/>
              </w:rPr>
              <w:t>: 5</w:t>
            </w:r>
          </w:p>
        </w:tc>
        <w:tc>
          <w:tcPr>
            <w:tcW w:w="3680" w:type="dxa"/>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5CC9D959" w14:textId="77777777" w:rsidR="00020A75" w:rsidRDefault="001511A5">
            <w:pPr>
              <w:spacing w:after="40"/>
            </w:pPr>
            <w:r>
              <w:rPr>
                <w:b/>
                <w:bCs/>
                <w:sz w:val="20"/>
                <w:szCs w:val="20"/>
              </w:rPr>
              <w:t>Actividad</w:t>
            </w:r>
            <w:r>
              <w:rPr>
                <w:sz w:val="20"/>
                <w:szCs w:val="20"/>
              </w:rPr>
              <w:t>: Actividad 5 · Integración, Pruebas y Calidad</w:t>
            </w:r>
          </w:p>
        </w:tc>
      </w:tr>
      <w:tr w:rsidR="00020A75" w14:paraId="2B98560A" w14:textId="77777777">
        <w:tc>
          <w:tcPr>
            <w:tcW w:w="10080" w:type="dxa"/>
            <w:gridSpan w:val="2"/>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1FE83DD2" w14:textId="77777777" w:rsidR="00020A75" w:rsidRDefault="001511A5">
            <w:pPr>
              <w:spacing w:after="40"/>
            </w:pPr>
            <w:r>
              <w:rPr>
                <w:b/>
                <w:bCs/>
                <w:sz w:val="20"/>
                <w:szCs w:val="20"/>
              </w:rPr>
              <w:t>Fecha</w:t>
            </w:r>
            <w:r>
              <w:rPr>
                <w:sz w:val="20"/>
                <w:szCs w:val="20"/>
              </w:rPr>
              <w:t>: 27/10/2026 (revisión: 28/10/2026)</w:t>
            </w:r>
          </w:p>
        </w:tc>
      </w:tr>
      <w:tr w:rsidR="00020A75" w14:paraId="3C99DDD3" w14:textId="77777777">
        <w:tc>
          <w:tcPr>
            <w:tcW w:w="10080" w:type="dxa"/>
            <w:gridSpan w:val="2"/>
            <w:tcBorders>
              <w:top w:val="single" w:sz="4" w:space="0" w:color="7F7F7F"/>
              <w:left w:val="single" w:sz="4" w:space="0" w:color="7F7F7F"/>
              <w:bottom w:val="single" w:sz="4" w:space="0" w:color="7F7F7F"/>
              <w:right w:val="single" w:sz="4" w:space="0" w:color="7F7F7F"/>
            </w:tcBorders>
            <w:tcMar>
              <w:top w:w="70" w:type="dxa"/>
              <w:left w:w="110" w:type="dxa"/>
              <w:bottom w:w="70" w:type="dxa"/>
              <w:right w:w="110" w:type="dxa"/>
            </w:tcMar>
          </w:tcPr>
          <w:p w14:paraId="0E2992AE" w14:textId="77777777" w:rsidR="00020A75" w:rsidRDefault="001511A5">
            <w:pPr>
              <w:spacing w:after="40"/>
            </w:pPr>
            <w:proofErr w:type="spellStart"/>
            <w:r>
              <w:rPr>
                <w:b/>
                <w:bCs/>
                <w:sz w:val="20"/>
                <w:szCs w:val="20"/>
              </w:rPr>
              <w:t>Bibliografia</w:t>
            </w:r>
            <w:proofErr w:type="spellEnd"/>
            <w:r>
              <w:rPr>
                <w:b/>
                <w:bCs/>
                <w:sz w:val="20"/>
                <w:szCs w:val="20"/>
              </w:rPr>
              <w:t xml:space="preserve"> (Formato APA)</w:t>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Astral Software. (s.f.). </w:t>
            </w:r>
            <w:r w:rsidRPr="001511A5">
              <w:rPr>
                <w:i/>
                <w:iCs/>
                <w:sz w:val="19"/>
                <w:szCs w:val="19"/>
                <w:lang w:val="en-US"/>
              </w:rPr>
              <w:t>Ruff</w:t>
            </w:r>
            <w:r w:rsidRPr="001511A5">
              <w:rPr>
                <w:sz w:val="19"/>
                <w:szCs w:val="19"/>
                <w:lang w:val="en-US"/>
              </w:rPr>
              <w:t xml:space="preserve"> [Documentación]. https://docs.astral.sh/ruff/</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Batchelder, N. (s.f.). </w:t>
            </w:r>
            <w:r w:rsidRPr="001511A5">
              <w:rPr>
                <w:i/>
                <w:iCs/>
                <w:sz w:val="19"/>
                <w:szCs w:val="19"/>
                <w:lang w:val="en-US"/>
              </w:rPr>
              <w:t>Coverage.py</w:t>
            </w:r>
            <w:r w:rsidRPr="001511A5">
              <w:rPr>
                <w:sz w:val="19"/>
                <w:szCs w:val="19"/>
                <w:lang w:val="en-US"/>
              </w:rPr>
              <w:t xml:space="preserve"> [Documentación]. https://coverage.readthedocs.io/</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Beck, K. (2003). </w:t>
            </w:r>
            <w:r w:rsidRPr="001511A5">
              <w:rPr>
                <w:i/>
                <w:iCs/>
                <w:sz w:val="19"/>
                <w:szCs w:val="19"/>
                <w:lang w:val="en-US"/>
              </w:rPr>
              <w:t>Test-driven development: By example</w:t>
            </w:r>
            <w:r w:rsidRPr="001511A5">
              <w:rPr>
                <w:sz w:val="19"/>
                <w:szCs w:val="19"/>
                <w:lang w:val="en-US"/>
              </w:rPr>
              <w:t>. Addison-Wesley.</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Componentes de Lógica de Negocios. (2026). </w:t>
            </w:r>
            <w:r w:rsidRPr="001511A5">
              <w:rPr>
                <w:i/>
                <w:iCs/>
                <w:sz w:val="19"/>
                <w:szCs w:val="19"/>
                <w:lang w:val="en-US"/>
              </w:rPr>
              <w:t>Laboratorio guiado Unidad 5: Integración, pruebas y calidad</w:t>
            </w:r>
            <w:r w:rsidRPr="001511A5">
              <w:rPr>
                <w:sz w:val="19"/>
                <w:szCs w:val="19"/>
                <w:lang w:val="en-US"/>
              </w:rPr>
              <w:t xml:space="preserve"> [Material del curso]. Facultad de Ingeniería Mecánica y Eléctrica, UANL.</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Cotlame Nieto, L. A., Bethancourt Contreras, C., &amp; Mora Ruiz, F. (2026). </w:t>
            </w:r>
            <w:r w:rsidRPr="001511A5">
              <w:rPr>
                <w:i/>
                <w:iCs/>
                <w:sz w:val="19"/>
                <w:szCs w:val="19"/>
                <w:lang w:val="en-US"/>
              </w:rPr>
              <w:t>Reporte BRD corregido, historias de usuario y glosario de Eventos Nova</w:t>
            </w:r>
            <w:r w:rsidRPr="001511A5">
              <w:rPr>
                <w:sz w:val="19"/>
                <w:szCs w:val="19"/>
                <w:lang w:val="en-US"/>
              </w:rPr>
              <w:t xml:space="preserve"> [Documentos no publicados]. FIME, UANL.</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GitHub. (s.f.). </w:t>
            </w:r>
            <w:r w:rsidRPr="001511A5">
              <w:rPr>
                <w:i/>
                <w:iCs/>
                <w:sz w:val="19"/>
                <w:szCs w:val="19"/>
                <w:lang w:val="en-US"/>
              </w:rPr>
              <w:t>Workflow syntax</w:t>
            </w:r>
            <w:r w:rsidRPr="001511A5">
              <w:rPr>
                <w:sz w:val="19"/>
                <w:szCs w:val="19"/>
                <w:lang w:val="en-US"/>
              </w:rPr>
              <w:t>. GitHub Docs. https://docs.github.com/en/actions/reference/workflows-and-actions/workflow-syntax</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Meszaros, G. (2007). </w:t>
            </w:r>
            <w:r w:rsidRPr="001511A5">
              <w:rPr>
                <w:i/>
                <w:iCs/>
                <w:sz w:val="19"/>
                <w:szCs w:val="19"/>
                <w:lang w:val="en-US"/>
              </w:rPr>
              <w:t>xUnit test patterns: Refactoring test code</w:t>
            </w:r>
            <w:r w:rsidRPr="001511A5">
              <w:rPr>
                <w:sz w:val="19"/>
                <w:szCs w:val="19"/>
                <w:lang w:val="en-US"/>
              </w:rPr>
              <w:t>. Addison-Wesley.</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pytest-dev. (s.f.). </w:t>
            </w:r>
            <w:r w:rsidRPr="001511A5">
              <w:rPr>
                <w:i/>
                <w:iCs/>
                <w:sz w:val="19"/>
                <w:szCs w:val="19"/>
                <w:lang w:val="en-US"/>
              </w:rPr>
              <w:t>How to use skip and xfail to deal with tests that cannot succeed</w:t>
            </w:r>
            <w:r w:rsidRPr="001511A5">
              <w:rPr>
                <w:sz w:val="19"/>
                <w:szCs w:val="19"/>
                <w:lang w:val="en-US"/>
              </w:rPr>
              <w:t>. pytest documentation. https://docs.pytest.org/en/stable/how-to/skipping.html</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pytest-dev. (s.f.). </w:t>
            </w:r>
            <w:r w:rsidRPr="001511A5">
              <w:rPr>
                <w:i/>
                <w:iCs/>
                <w:sz w:val="19"/>
                <w:szCs w:val="19"/>
                <w:lang w:val="en-US"/>
              </w:rPr>
              <w:t>pytest-cov</w:t>
            </w:r>
            <w:r w:rsidRPr="001511A5">
              <w:rPr>
                <w:sz w:val="19"/>
                <w:szCs w:val="19"/>
                <w:lang w:val="en-US"/>
              </w:rPr>
              <w:t xml:space="preserve"> [Repositorio de código]. GitHub. https://github.com/pytest-dev/pytest-cov</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Python Software Foundation. (s.f.). </w:t>
            </w:r>
            <w:r w:rsidRPr="001511A5">
              <w:rPr>
                <w:i/>
                <w:iCs/>
                <w:sz w:val="19"/>
                <w:szCs w:val="19"/>
                <w:lang w:val="en-US"/>
              </w:rPr>
              <w:t>unittest.mock — mock object library</w:t>
            </w:r>
            <w:r w:rsidRPr="001511A5">
              <w:rPr>
                <w:sz w:val="19"/>
                <w:szCs w:val="19"/>
                <w:lang w:val="en-US"/>
              </w:rPr>
              <w:t>. Python 3 documentation. https://docs.python.org/3/library/unittest.mock.html</w:t>
            </w:r>
            <w:r>
              <w:rPr>
                <w:sz w:val="19"/>
                <w:szCs w:val="19"/>
              </w:rPr>
            </w:r>
          </w:p>
          <w:p w14:paraId="6BECD6E7" w14:textId="77777777" w:rsidR="00020A75" w:rsidRDefault="001511A5">
            <w:pPr>
              <w:pStyle w:val="Prrafodelista"/>
              <w:numPr>
                <w:ilvl w:val="0"/>
                <w:numId w:val="2"/>
              </w:numPr>
              <w:spacing w:after="50" w:line="250" w:lineRule="auto"/>
            </w:pPr>
            <w:r w:rsidRPr="001511A5">
              <w:rPr>
                <w:sz w:val="19"/>
                <w:szCs w:val="19"/>
                <w:lang w:val="en-US"/>
              </w:rPr>
              <w:t xml:space="preserve">SQLAlchemy. (s.f.). </w:t>
            </w:r>
            <w:r w:rsidRPr="001511A5">
              <w:rPr>
                <w:i/>
                <w:iCs/>
                <w:sz w:val="19"/>
                <w:szCs w:val="19"/>
                <w:lang w:val="en-US"/>
              </w:rPr>
              <w:t>Transactions and connection management</w:t>
            </w:r>
            <w:r w:rsidRPr="001511A5">
              <w:rPr>
                <w:sz w:val="19"/>
                <w:szCs w:val="19"/>
                <w:lang w:val="en-US"/>
              </w:rPr>
              <w:t>. SQLAlchemy 2.0 Documentation. https://docs.sqlalchemy.org/en/20/orm/session_transaction.html</w:t>
            </w:r>
            <w:r>
              <w:rPr>
                <w:sz w:val="19"/>
                <w:szCs w:val="19"/>
              </w:rPr>
            </w:r>
          </w:p>
        </w:tc>
      </w:tr>
    </w:tbl>
    <w:p>
      <w:pPr>
        <w:keepNext/>
        <w:spacing w:before="120" w:after="80" w:line="276" w:lineRule="auto"/>
      </w:pPr>
      <w:r>
        <w:rPr>
          <w:b/>
        </w:rPr>
        <w:t>Objetivo:</w:t>
      </w:r>
    </w:p>
    <w:p>
      <w:pPr>
        <w:spacing w:before="0" w:after="120" w:line="276" w:lineRule="auto"/>
        <w:jc w:val="both"/>
      </w:pPr>
      <w:r>
        <w:t>Demostrar, con pruebas automatizadas y evidencias reproducibles, que las reglas de negocio se comportan como se espera: casos de éxito, error y límite; TDD con el ciclo Red–Green–Refactor; persistencia con commit y rollback; servicios externos simulados con mocks; políticas de autorización; cobertura mínima del 80 %; revisión estática con Ruff y un pipeline de GitHub Actions. La actividad tiene dos alcances separados: el proyecto didáctico de pedidos del laboratorio y la adaptación de las pruebas a Eventos Nova, el negocio oficial de nuestro PIA.</w:t>
      </w:r>
    </w:p>
    <w:p>
      <w:pPr>
        <w:keepNext/>
        <w:spacing w:before="120" w:after="80" w:line="276" w:lineRule="auto"/>
      </w:pPr>
      <w:r>
        <w:rPr>
          <w:b/>
        </w:rPr>
        <w:t>Procedimiento:</w:t>
      </w:r>
    </w:p>
    <w:p>
      <w:pPr>
        <w:spacing w:before="80" w:after="40" w:line="276" w:lineRule="auto"/>
      </w:pPr>
      <w:r>
        <w:rPr>
          <w:b/>
          <w:color w:val="1F3864"/>
          <w:sz w:val="28"/>
        </w:rPr>
        <w:t>REPORTE DE LA ACTIVIDAD 5</w:t>
      </w:r>
    </w:p>
    <w:p>
      <w:pPr>
        <w:spacing w:before="0" w:after="200" w:line="276" w:lineRule="auto"/>
      </w:pPr>
      <w:r>
        <w:rPr>
          <w:color w:val="2E5C9A"/>
          <w:sz w:val="22"/>
        </w:rPr>
        <w:t>Unidad 5 · Integración, Pruebas y Calidad · Laboratorio base y Eventos Nova</w:t>
      </w:r>
    </w:p>
    <w:p>
      <w:pPr>
        <w:pStyle w:val="Ttulo1"/>
        <w:keepNext/>
      </w:pPr>
      <w:r>
        <w:t>Introducción</w:t>
      </w:r>
    </w:p>
    <w:p>
      <w:pPr>
        <w:spacing w:before="0" w:after="120" w:line="276" w:lineRule="auto"/>
        <w:jc w:val="both"/>
      </w:pPr>
      <w:r>
        <w:t>En las unidades anteriores convertimos las reglas de Eventos Nova en un modelo de dominio y en una aplicación en Python. En esta unidad la pregunta es otra: cómo demostrar que lo programado funciona. Para practicar trabajamos primero con el proyecto base del profesor, un sistema pequeño de pedidos, y después aplicamos lo mismo al código real de Eventos Nova.</w:t>
      </w:r>
    </w:p>
    <w:p>
      <w:pPr>
        <w:spacing w:before="0" w:after="120" w:line="276" w:lineRule="auto"/>
        <w:jc w:val="both"/>
      </w:pPr>
      <w:r>
        <w:t xml:space="preserve">Todo lo que se reporta aquí proviene de ejecuciones guardadas en la carpeta </w:t>
      </w:r>
      <w:r>
        <w:rPr>
          <w:rFonts w:ascii="Consolas" w:hAnsi="Consolas" w:eastAsia="Consolas"/>
          <w:sz w:val="18"/>
        </w:rPr>
        <w:t>evidencias/</w:t>
      </w:r>
      <w:r>
        <w:t xml:space="preserve"> del entregable. Las pruebas se ejecutaron el 27/10/2026 en un entorno Linux con Python 3.13.18; para Eventos Nova se usó además una base PostgreSQL 16 local y efímera. Lo que depende de GitHub (las ejecuciones reales del pipeline) quedó preparado y se marca como pendiente.</w:t>
      </w:r>
    </w:p>
    <w:p>
      <w:pPr>
        <w:spacing w:before="0" w:after="120" w:line="276" w:lineRule="auto"/>
        <w:jc w:val="both"/>
      </w:pPr>
      <w:r>
        <w:rPr>
          <w:b/>
        </w:rPr>
        <w:t>Revisión del 28/10/2026.</w:t>
      </w:r>
      <w:r>
        <w:t xml:space="preserve"> Una revisión técnica de la primera entrega encontró que las pruebas de Eventos Nova no se podían ejecutar desde el ZIP (</w:t>
      </w:r>
      <w:r>
        <w:rPr>
          <w:rFonts w:ascii="Consolas" w:hAnsi="Consolas" w:eastAsia="Consolas"/>
          <w:sz w:val="18"/>
        </w:rPr>
        <w:t>ModuleNotFoundError: No module named 'domain'</w:t>
      </w:r>
      <w:r>
        <w:t>). En la segunda sesión reproducimos el error, encontramos la causa (el paquete no incluía el código del PIA), integramos el código real, corregimos el hallazgo U5-H1 y volvimos a ejecutar todo. Los registros del 27/10 se conservan sin cambios; los nuevos llevan la fecha 20261028 en el nombre. Las cifras de este reporte corresponden a la ejecución final del 28/10/2026.</w:t>
      </w:r>
    </w:p>
    <w:p>
      <w:pPr>
        <w:pStyle w:val="Ttulo1"/>
        <w:keepNext/>
      </w:pPr>
      <w:r>
        <w:t>1. Procedimiento y desarrollo</w:t>
      </w:r>
    </w:p>
    <w:p>
      <w:pPr>
        <w:pStyle w:val="Ttulo2"/>
        <w:keepNext/>
      </w:pPr>
      <w:r>
        <w:t>1.1 Análisis del proyecto base y arquitectura</w:t>
      </w:r>
    </w:p>
    <w:p>
      <w:pPr>
        <w:spacing w:before="0" w:after="120" w:line="276" w:lineRule="auto"/>
        <w:jc w:val="both"/>
      </w:pPr>
      <w:r>
        <w:t>El ZIP del laboratorio contiene las instrucciones, tres CSV de datos ficticios (</w:t>
      </w:r>
      <w:r>
        <w:rPr>
          <w:rFonts w:ascii="Consolas" w:hAnsi="Consolas" w:eastAsia="Consolas"/>
          <w:sz w:val="18"/>
        </w:rPr>
        <w:t>casos_de_prueba.csv</w:t>
      </w:r>
      <w:r>
        <w:t xml:space="preserve">, </w:t>
      </w:r>
      <w:r>
        <w:rPr>
          <w:rFonts w:ascii="Consolas" w:hAnsi="Consolas" w:eastAsia="Consolas"/>
          <w:sz w:val="18"/>
        </w:rPr>
        <w:t>pedidos_prueba.csv</w:t>
      </w:r>
      <w:r>
        <w:t xml:space="preserve">, </w:t>
      </w:r>
      <w:r>
        <w:rPr>
          <w:rFonts w:ascii="Consolas" w:hAnsi="Consolas" w:eastAsia="Consolas"/>
          <w:sz w:val="18"/>
        </w:rPr>
        <w:t>clientes_prueba.csv</w:t>
      </w:r>
      <w:r>
        <w:t xml:space="preserve">), una base SQLite didáctica, un script para regenerarla y un segundo ZIP con el proyecto ejecutable. Solo este último tiene código: </w:t>
      </w:r>
      <w:r>
        <w:rPr>
          <w:rFonts w:ascii="Consolas" w:hAnsi="Consolas" w:eastAsia="Consolas"/>
          <w:sz w:val="18"/>
        </w:rPr>
        <w:t>src/</w:t>
      </w:r>
      <w:r>
        <w:t xml:space="preserve"> con cuatro módulos y </w:t>
      </w:r>
      <w:r>
        <w:rPr>
          <w:rFonts w:ascii="Consolas" w:hAnsi="Consolas" w:eastAsia="Consolas"/>
          <w:sz w:val="18"/>
        </w:rPr>
        <w:t>tests/</w:t>
      </w:r>
      <w:r>
        <w:t xml:space="preserve"> con 13 pruebas. Las reglas reales del código son: </w:t>
      </w:r>
      <w:r>
        <w:rPr>
          <w:rFonts w:ascii="Consolas" w:hAnsi="Consolas" w:eastAsia="Consolas"/>
          <w:sz w:val="18"/>
        </w:rPr>
        <w:t>Order.confirm()</w:t>
      </w:r>
      <w:r>
        <w:t xml:space="preserve"> rechaza totales menores o iguales a cero y clientes con deuda, aplica 15 % de descuento VIP y deja el pedido en </w:t>
      </w:r>
      <w:r>
        <w:rPr>
          <w:rFonts w:ascii="Consolas" w:hAnsi="Consolas" w:eastAsia="Consolas"/>
          <w:sz w:val="18"/>
        </w:rPr>
        <w:t>CONFIRMED</w:t>
      </w:r>
      <w:r>
        <w:t xml:space="preserve">; </w:t>
      </w:r>
      <w:r>
        <w:rPr>
          <w:rFonts w:ascii="Consolas" w:hAnsi="Consolas" w:eastAsia="Consolas"/>
          <w:sz w:val="18"/>
        </w:rPr>
        <w:t>OrderService.checkout()</w:t>
      </w:r>
      <w:r>
        <w:t xml:space="preserve"> confirma y cobra mediante una pasarela, y lanza </w:t>
      </w:r>
      <w:r>
        <w:rPr>
          <w:rFonts w:ascii="Consolas" w:hAnsi="Consolas" w:eastAsia="Consolas"/>
          <w:sz w:val="18"/>
        </w:rPr>
        <w:t>RuntimeError("payment rejected")</w:t>
      </w:r>
      <w:r>
        <w:t xml:space="preserve"> si el cobro no se aprueba; </w:t>
      </w:r>
      <w:r>
        <w:rPr>
          <w:rFonts w:ascii="Consolas" w:hAnsi="Consolas" w:eastAsia="Consolas"/>
          <w:sz w:val="18"/>
        </w:rPr>
        <w:t>SqlOrderRepository</w:t>
      </w:r>
      <w:r>
        <w:t xml:space="preserve"> guarda en la tabla </w:t>
      </w:r>
      <w:r>
        <w:rPr>
          <w:rFonts w:ascii="Consolas" w:hAnsi="Consolas" w:eastAsia="Consolas"/>
          <w:sz w:val="18"/>
        </w:rPr>
        <w:t>orders</w:t>
      </w:r>
      <w:r>
        <w:t xml:space="preserve">, y </w:t>
      </w:r>
      <w:r>
        <w:rPr>
          <w:rFonts w:ascii="Consolas" w:hAnsi="Consolas" w:eastAsia="Consolas"/>
          <w:sz w:val="18"/>
        </w:rPr>
        <w:t>can_cancel()</w:t>
      </w:r>
      <w:r>
        <w:t xml:space="preserve"> aplica la política de cancelación.</w:t>
      </w:r>
    </w:p>
    <w:p>
      <w:pPr>
        <w:spacing w:before="0" w:after="120" w:line="276" w:lineRule="auto"/>
        <w:jc w:val="both"/>
      </w:pPr>
      <w:r>
        <w:t xml:space="preserve">Antes de modificar nada ejecutamos la suite original: 13 de 13 pruebas aprobadas y 98 % de cobertura (faltaba la rama del administrador en </w:t>
      </w:r>
      <w:r>
        <w:rPr>
          <w:rFonts w:ascii="Consolas" w:hAnsi="Consolas" w:eastAsia="Consolas"/>
          <w:sz w:val="18"/>
        </w:rPr>
        <w:t>security.py</w:t>
      </w:r>
      <w:r>
        <w:t>). La misma revisión mostró tres problemas del entorno de calidad que se recogen en la Tabla 1, junto con el resto de los hallazgos iniciales.</w:t>
      </w:r>
    </w:p>
    <w:p>
      <w:pPr>
        <w:keepNext/>
        <w:spacing w:before="160" w:after="60" w:line="276" w:lineRule="auto"/>
        <w:jc w:val="center"/>
      </w:pPr>
      <w:r>
        <w:rPr>
          <w:b/>
          <w:sz w:val="19"/>
        </w:rPr>
        <w:t xml:space="preserve">Tabla 1. </w:t>
      </w:r>
      <w:r>
        <w:rPr>
          <w:sz w:val="19"/>
        </w:rPr>
        <w:t>Hallazgos iniciales del análisis</w:t>
      </w:r>
    </w:p>
    <w:tbl>
      <w:tblPr>
        <w:tblStyle w:val="Tabladecuadrcula4-nfasis11"/>
        <w:tblW w:type="dxa" w:w="9865"/>
        <w:jc w:val="center"/>
        <w:tblLayout w:type="fixed"/>
        <w:tblLook w:firstColumn="1" w:firstRow="1" w:lastColumn="0" w:lastRow="0" w:noHBand="0" w:noVBand="1" w:val="04A0"/>
        <w:tblLayout w:type="fixed"/>
      </w:tblPr>
      <w:tblGrid>
        <w:gridCol w:w="1927"/>
        <w:gridCol w:w="7938"/>
      </w:tblGrid>
      <w:tr>
        <w:trPr>
          <w:tblHeader w:val="true"/>
          <w:cantSplit w:val="true"/>
        </w:trPr>
        <w:tc>
          <w:tcPr>
            <w:tcW w:type="dxa" w:w="1928"/>
          </w:tcPr>
          <w:p>
            <w:pPr>
              <w:keepNext/>
              <w:jc w:val="center"/>
            </w:pPr>
            <w:r/>
            <w:r>
              <w:rPr>
                <w:b/>
                <w:sz w:val="17"/>
              </w:rPr>
              <w:t>Categoría</w:t>
            </w:r>
          </w:p>
        </w:tc>
        <w:tc>
          <w:tcPr>
            <w:tcW w:type="dxa" w:w="7937"/>
          </w:tcPr>
          <w:p>
            <w:pPr>
              <w:keepNext/>
              <w:jc w:val="center"/>
            </w:pPr>
            <w:r/>
            <w:r>
              <w:rPr>
                <w:b/>
                <w:sz w:val="17"/>
              </w:rPr>
              <w:t>Hallazgo</w:t>
            </w:r>
          </w:p>
        </w:tc>
      </w:tr>
      <w:tr>
        <w:trPr>
          <w:cantSplit w:val="true"/>
        </w:trPr>
        <w:tc>
          <w:tcPr>
            <w:tcW w:type="dxa" w:w="1928"/>
          </w:tcPr>
          <w:p>
            <w:pPr>
              <w:keepNext/>
              <w:spacing w:after="20"/>
            </w:pPr>
            <w:r/>
            <w:r>
              <w:rPr>
                <w:sz w:val="17"/>
              </w:rPr>
              <w:t>Requisitos</w:t>
            </w:r>
          </w:p>
        </w:tc>
        <w:tc>
          <w:tcPr>
            <w:tcW w:type="dxa" w:w="7937"/>
          </w:tcPr>
          <w:p>
            <w:pPr>
              <w:keepNext/>
              <w:spacing w:after="20"/>
            </w:pPr>
            <w:r/>
            <w:r>
              <w:rPr>
                <w:sz w:val="17"/>
              </w:rPr>
              <w:t>Matriz de al menos 12 casos (5 éxito, 4 error, 3 límite); TDD de doble confirmación; persistencia con id 2 y total 250; mocks de pago aprobado, rechazado y timeout; matriz de autorización; cobertura ≥ 80 %; CI verde → rojo → verde; tres reglas del PIA con nueve casos como mínimo.</w:t>
            </w:r>
          </w:p>
        </w:tc>
      </w:tr>
      <w:tr>
        <w:trPr>
          <w:cantSplit w:val="true"/>
        </w:trPr>
        <w:tc>
          <w:tcPr>
            <w:tcW w:type="dxa" w:w="1928"/>
          </w:tcPr>
          <w:p>
            <w:pPr>
              <w:keepNext/>
              <w:spacing w:after="20"/>
            </w:pPr>
            <w:r/>
            <w:r>
              <w:rPr>
                <w:sz w:val="17"/>
              </w:rPr>
              <w:t>Funcionalidad existente</w:t>
            </w:r>
          </w:p>
        </w:tc>
        <w:tc>
          <w:tcPr>
            <w:tcW w:type="dxa" w:w="7937"/>
          </w:tcPr>
          <w:p>
            <w:pPr>
              <w:keepNext/>
              <w:spacing w:after="20"/>
            </w:pPr>
            <w:r/>
            <w:r>
              <w:rPr>
                <w:sz w:val="17"/>
              </w:rPr>
              <w:t>Descuento VIP, validación de total y deuda, cobro con pasarela, repositorio SQLAlchemy y política de cancelación. El código permitía confirmar dos veces (caso CP08).</w:t>
            </w:r>
          </w:p>
        </w:tc>
      </w:tr>
      <w:tr>
        <w:trPr>
          <w:cantSplit w:val="true"/>
        </w:trPr>
        <w:tc>
          <w:tcPr>
            <w:tcW w:type="dxa" w:w="1928"/>
          </w:tcPr>
          <w:p>
            <w:pPr>
              <w:keepNext/>
              <w:spacing w:after="20"/>
            </w:pPr>
            <w:r/>
            <w:r>
              <w:rPr>
                <w:sz w:val="17"/>
              </w:rPr>
              <w:t>Pruebas existentes</w:t>
            </w:r>
          </w:p>
        </w:tc>
        <w:tc>
          <w:tcPr>
            <w:tcW w:type="dxa" w:w="7937"/>
          </w:tcPr>
          <w:p>
            <w:pPr>
              <w:keepNext/>
              <w:spacing w:after="20"/>
            </w:pPr>
            <w:r/>
            <w:r>
              <w:rPr>
                <w:sz w:val="17"/>
              </w:rPr>
              <w:t>13: dominio (5), repositorio (2), servicio (2) y seguridad (4). Las de seguridad usaban la hora real.</w:t>
            </w:r>
          </w:p>
        </w:tc>
      </w:tr>
      <w:tr>
        <w:trPr>
          <w:cantSplit w:val="true"/>
        </w:trPr>
        <w:tc>
          <w:tcPr>
            <w:tcW w:type="dxa" w:w="1928"/>
          </w:tcPr>
          <w:p>
            <w:pPr>
              <w:keepNext/>
              <w:spacing w:after="20"/>
            </w:pPr>
            <w:r/>
            <w:r>
              <w:rPr>
                <w:sz w:val="17"/>
              </w:rPr>
              <w:t>Pruebas faltantes</w:t>
            </w:r>
          </w:p>
        </w:tc>
        <w:tc>
          <w:tcPr>
            <w:tcW w:type="dxa" w:w="7937"/>
          </w:tcPr>
          <w:p>
            <w:pPr>
              <w:keepNext/>
              <w:spacing w:after="20"/>
            </w:pPr>
            <w:r/>
            <w:r>
              <w:rPr>
                <w:sz w:val="17"/>
              </w:rPr>
              <w:t>VIP/regular de 200, límites de total y deuda, doble confirmación, id 2/total 250, unicidad, rollback parcial, timeout, administrador sobre pedido ajeno y propietario a las 24 h exactas.</w:t>
            </w:r>
          </w:p>
        </w:tc>
      </w:tr>
      <w:tr>
        <w:trPr>
          <w:cantSplit w:val="true"/>
        </w:trPr>
        <w:tc>
          <w:tcPr>
            <w:tcW w:type="dxa" w:w="1928"/>
          </w:tcPr>
          <w:p>
            <w:pPr>
              <w:keepNext/>
              <w:spacing w:after="20"/>
            </w:pPr>
            <w:r/>
            <w:r>
              <w:rPr>
                <w:sz w:val="17"/>
              </w:rPr>
              <w:t>Problemas de calidad</w:t>
            </w:r>
          </w:p>
        </w:tc>
        <w:tc>
          <w:tcPr>
            <w:tcW w:type="dxa" w:w="7937"/>
          </w:tcPr>
          <w:p>
            <w:pPr>
              <w:keepNext/>
              <w:spacing w:after="20"/>
            </w:pPr>
            <w:r/>
            <w:r>
              <w:rPr>
                <w:sz w:val="17"/>
              </w:rPr>
              <w:t xml:space="preserve">(1) </w:t>
            </w:r>
            <w:r>
              <w:rPr>
                <w:rFonts w:ascii="Consolas" w:hAnsi="Consolas" w:eastAsia="Consolas"/>
                <w:sz w:val="17"/>
              </w:rPr>
              <w:t>pytest</w:t>
            </w:r>
            <w:r>
              <w:rPr>
                <w:sz w:val="17"/>
              </w:rPr>
              <w:t xml:space="preserve"> sin </w:t>
            </w:r>
            <w:r>
              <w:rPr>
                <w:rFonts w:ascii="Consolas" w:hAnsi="Consolas" w:eastAsia="Consolas"/>
                <w:sz w:val="17"/>
              </w:rPr>
              <w:t>python -m</w:t>
            </w:r>
            <w:r>
              <w:rPr>
                <w:sz w:val="17"/>
              </w:rPr>
              <w:t xml:space="preserve">, como lo ejecuta el workflow original, falla con </w:t>
            </w:r>
            <w:r>
              <w:rPr>
                <w:rFonts w:ascii="Consolas" w:hAnsi="Consolas" w:eastAsia="Consolas"/>
                <w:sz w:val="17"/>
              </w:rPr>
              <w:t>ModuleNotFoundError: src</w:t>
            </w:r>
            <w:r>
              <w:rPr>
                <w:sz w:val="17"/>
              </w:rPr>
              <w:t xml:space="preserve">. (2) Ruff 0.16.9, que es lo que instala </w:t>
            </w:r>
            <w:r>
              <w:rPr>
                <w:rFonts w:ascii="Consolas" w:hAnsi="Consolas" w:eastAsia="Consolas"/>
                <w:sz w:val="17"/>
              </w:rPr>
              <w:t>ruff&gt;=0.6</w:t>
            </w:r>
            <w:r>
              <w:rPr>
                <w:sz w:val="17"/>
              </w:rPr>
              <w:t>, reporta 7 errores de orden de imports. (3) Las pruebas de repositorio dejaban conexiones SQLite abiertas (</w:t>
            </w:r>
            <w:r>
              <w:rPr>
                <w:rFonts w:ascii="Consolas" w:hAnsi="Consolas" w:eastAsia="Consolas"/>
                <w:sz w:val="17"/>
              </w:rPr>
              <w:t>ResourceWarning</w:t>
            </w:r>
            <w:r>
              <w:rPr>
                <w:sz w:val="17"/>
              </w:rPr>
              <w:t>).</w:t>
            </w:r>
          </w:p>
        </w:tc>
      </w:tr>
      <w:tr>
        <w:trPr>
          <w:cantSplit w:val="true"/>
        </w:trPr>
        <w:tc>
          <w:tcPr>
            <w:tcW w:type="dxa" w:w="1928"/>
          </w:tcPr>
          <w:p>
            <w:pPr>
              <w:keepNext/>
              <w:spacing w:after="20"/>
            </w:pPr>
            <w:r/>
            <w:r>
              <w:rPr>
                <w:sz w:val="17"/>
              </w:rPr>
              <w:t>Riesgos técnicos</w:t>
            </w:r>
          </w:p>
        </w:tc>
        <w:tc>
          <w:tcPr>
            <w:tcW w:type="dxa" w:w="7937"/>
          </w:tcPr>
          <w:p>
            <w:pPr>
              <w:keepNext/>
              <w:spacing w:after="20"/>
            </w:pPr>
            <w:r/>
            <w:r>
              <w:rPr>
                <w:rFonts w:ascii="Consolas" w:hAnsi="Consolas" w:eastAsia="Consolas"/>
                <w:sz w:val="17"/>
              </w:rPr>
              <w:t>checkout()</w:t>
            </w:r>
            <w:r>
              <w:rPr>
                <w:sz w:val="17"/>
              </w:rPr>
              <w:t xml:space="preserve"> confirma antes de saber si el pago se aprobó; </w:t>
            </w:r>
            <w:r>
              <w:rPr>
                <w:rFonts w:ascii="Consolas" w:hAnsi="Consolas" w:eastAsia="Consolas"/>
                <w:sz w:val="17"/>
              </w:rPr>
              <w:t>checkout()</w:t>
            </w:r>
            <w:r>
              <w:rPr>
                <w:sz w:val="17"/>
              </w:rPr>
              <w:t xml:space="preserve"> no recibe la deuda del cliente; los importes usan </w:t>
            </w:r>
            <w:r>
              <w:rPr>
                <w:rFonts w:ascii="Consolas" w:hAnsi="Consolas" w:eastAsia="Consolas"/>
                <w:sz w:val="17"/>
              </w:rPr>
              <w:t>float</w:t>
            </w:r>
            <w:r>
              <w:rPr>
                <w:sz w:val="17"/>
              </w:rPr>
              <w:t xml:space="preserve">; </w:t>
            </w:r>
            <w:r>
              <w:rPr>
                <w:rFonts w:ascii="Consolas" w:hAnsi="Consolas" w:eastAsia="Consolas"/>
                <w:sz w:val="17"/>
              </w:rPr>
              <w:t>confirm()</w:t>
            </w:r>
            <w:r>
              <w:rPr>
                <w:sz w:val="17"/>
              </w:rPr>
              <w:t xml:space="preserve"> no define qué hacer con estados distintos de NEW y CONFIRMED (por ejemplo, SHIPPED), así que no se inventó una regla para ese caso.</w:t>
            </w:r>
          </w:p>
        </w:tc>
      </w:tr>
      <w:tr>
        <w:trPr>
          <w:cantSplit w:val="true"/>
        </w:trPr>
        <w:tc>
          <w:tcPr>
            <w:tcW w:type="dxa" w:w="1928"/>
          </w:tcPr>
          <w:p>
            <w:pPr>
              <w:keepNext/>
              <w:spacing w:after="20"/>
            </w:pPr>
            <w:r/>
            <w:r>
              <w:rPr>
                <w:sz w:val="17"/>
              </w:rPr>
              <w:t>Limitaciones</w:t>
            </w:r>
          </w:p>
        </w:tc>
        <w:tc>
          <w:tcPr>
            <w:tcW w:type="dxa" w:w="7937"/>
          </w:tcPr>
          <w:p>
            <w:pPr>
              <w:keepNext/>
              <w:spacing w:after="20"/>
            </w:pPr>
            <w:r/>
            <w:r>
              <w:rPr>
                <w:sz w:val="17"/>
              </w:rPr>
              <w:t>Sin cuenta de GitHub vinculada en la sesión; sin acceso a PyPI (las dependencias se instalaron desde los repositorios oficiales en GitHub y desde los paquetes del entorno del equipo); no se recibió el reporte de la Actividad 4.</w:t>
            </w:r>
          </w:p>
        </w:tc>
      </w:tr>
      <w:tr>
        <w:trPr>
          <w:cantSplit w:val="true"/>
        </w:trPr>
        <w:tc>
          <w:tcPr>
            <w:tcW w:type="dxa" w:w="1928"/>
          </w:tcPr>
          <w:p>
            <w:pPr>
              <w:spacing w:after="20"/>
            </w:pPr>
            <w:r/>
            <w:r>
              <w:rPr>
                <w:sz w:val="17"/>
              </w:rPr>
              <w:t>Diferencias entre documentos</w:t>
            </w:r>
          </w:p>
        </w:tc>
        <w:tc>
          <w:tcPr>
            <w:tcW w:type="dxa" w:w="7937"/>
          </w:tcPr>
          <w:p>
            <w:pPr>
              <w:spacing w:after="20"/>
            </w:pPr>
            <w:r/>
            <w:r>
              <w:rPr>
                <w:sz w:val="17"/>
              </w:rPr>
              <w:t>La guía de la actividad y la documentación aprobada de Eventos Nova difieren en varias reglas (sección 1.10, Tabla 5).</w:t>
            </w:r>
          </w:p>
        </w:tc>
      </w:tr>
    </w:tbl>
    <w:p>
      <w:pPr>
        <w:spacing w:before="0" w:after="40" w:line="276" w:lineRule="auto"/>
        <w:jc w:val="both"/>
      </w:pPr>
    </w:p>
    <w:p>
      <w:pPr>
        <w:spacing w:before="0" w:after="120" w:line="276" w:lineRule="auto"/>
        <w:jc w:val="both"/>
      </w:pPr>
      <w:r>
        <w:t xml:space="preserve">Los tres problemas de calidad se corrigieron sin tocar la lógica de negocio: </w:t>
      </w:r>
      <w:r>
        <w:rPr>
          <w:rFonts w:ascii="Consolas" w:hAnsi="Consolas" w:eastAsia="Consolas"/>
          <w:sz w:val="18"/>
        </w:rPr>
        <w:t>pythonpath = ["."]</w:t>
      </w:r>
      <w:r>
        <w:t xml:space="preserve"> en </w:t>
      </w:r>
      <w:r>
        <w:rPr>
          <w:rFonts w:ascii="Consolas" w:hAnsi="Consolas" w:eastAsia="Consolas"/>
          <w:sz w:val="18"/>
        </w:rPr>
        <w:t>pyproject.toml</w:t>
      </w:r>
      <w:r>
        <w:t xml:space="preserve">, </w:t>
      </w:r>
      <w:r>
        <w:rPr>
          <w:rFonts w:ascii="Consolas" w:hAnsi="Consolas" w:eastAsia="Consolas"/>
          <w:sz w:val="18"/>
        </w:rPr>
        <w:t>ruff check --fix</w:t>
      </w:r>
      <w:r>
        <w:t xml:space="preserve"> (solo reordena imports) y fixtures que cierran la sesión y liberan el motor. Para que no vuelvan a aparecer conexiones abiertas, </w:t>
      </w:r>
      <w:r>
        <w:rPr>
          <w:rFonts w:ascii="Consolas" w:hAnsi="Consolas" w:eastAsia="Consolas"/>
          <w:sz w:val="18"/>
        </w:rPr>
        <w:t>pyproject.toml</w:t>
      </w:r>
      <w:r>
        <w:t xml:space="preserve"> convierte </w:t>
      </w:r>
      <w:r>
        <w:rPr>
          <w:rFonts w:ascii="Consolas" w:hAnsi="Consolas" w:eastAsia="Consolas"/>
          <w:sz w:val="18"/>
        </w:rPr>
        <w:t>ResourceWarning</w:t>
      </w:r>
      <w:r>
        <w:t xml:space="preserve"> en error. El trabajo quedó registrado en Git con un commit por paso (Figura 7).</w:t>
      </w:r>
    </w:p>
    <w:p>
      <w:pPr>
        <w:keepNext/>
        <w:spacing w:before="120"/>
        <w:jc w:val="center"/>
      </w:pPr>
      <w:r>
        <w:drawing>
          <wp:inline xmlns:a="http://schemas.openxmlformats.org/drawingml/2006/main" xmlns:pic="http://schemas.openxmlformats.org/drawingml/2006/picture">
            <wp:extent cx="5580000" cy="2549239"/>
            <wp:docPr id="1" name="Picture 1"/>
            <wp:cNvGraphicFramePr>
              <a:graphicFrameLocks noChangeAspect="1"/>
            </wp:cNvGraphicFramePr>
            <a:graphic>
              <a:graphicData uri="http://schemas.openxmlformats.org/drawingml/2006/picture">
                <pic:pic>
                  <pic:nvPicPr>
                    <pic:cNvPr id="0" name="E1_01_pytest_inicial.png"/>
                    <pic:cNvPicPr/>
                  </pic:nvPicPr>
                  <pic:blipFill>
                    <a:blip r:embed="rId18"/>
                    <a:stretch>
                      <a:fillRect/>
                    </a:stretch>
                  </pic:blipFill>
                  <pic:spPr>
                    <a:xfrm>
                      <a:off x="0" y="0"/>
                      <a:ext cx="5580000" cy="2549239"/>
                    </a:xfrm>
                    <a:prstGeom prst="rect"/>
                  </pic:spPr>
                </pic:pic>
              </a:graphicData>
            </a:graphic>
          </wp:inline>
        </w:drawing>
      </w:r>
    </w:p>
    <w:p>
      <w:pPr>
        <w:spacing w:before="80" w:after="120" w:line="276" w:lineRule="auto"/>
        <w:jc w:val="center"/>
      </w:pPr>
      <w:r>
        <w:rPr>
          <w:b/>
          <w:sz w:val="19"/>
        </w:rPr>
        <w:t xml:space="preserve">Figura 1. </w:t>
      </w:r>
      <w:r>
        <w:rPr>
          <w:sz w:val="19"/>
        </w:rPr>
        <w:t>Ejecución inicial de la suite original (E1): 13 pruebas aprobadas antes de cualquier cambio.</w:t>
      </w:r>
    </w:p>
    <w:p>
      <w:pPr>
        <w:keepNext/>
        <w:spacing w:before="120"/>
        <w:jc w:val="center"/>
      </w:pPr>
      <w:r>
        <w:drawing>
          <wp:inline xmlns:a="http://schemas.openxmlformats.org/drawingml/2006/main" xmlns:pic="http://schemas.openxmlformats.org/drawingml/2006/picture">
            <wp:extent cx="5580000" cy="1699492"/>
            <wp:docPr id="2" name="Picture 2"/>
            <wp:cNvGraphicFramePr>
              <a:graphicFrameLocks noChangeAspect="1"/>
            </wp:cNvGraphicFramePr>
            <a:graphic>
              <a:graphicData uri="http://schemas.openxmlformats.org/drawingml/2006/picture">
                <pic:pic>
                  <pic:nvPicPr>
                    <pic:cNvPr id="0" name="E1_04_pytest_sin_python_m_l1-16.png"/>
                    <pic:cNvPicPr/>
                  </pic:nvPicPr>
                  <pic:blipFill>
                    <a:blip r:embed="rId19"/>
                    <a:stretch>
                      <a:fillRect/>
                    </a:stretch>
                  </pic:blipFill>
                  <pic:spPr>
                    <a:xfrm>
                      <a:off x="0" y="0"/>
                      <a:ext cx="5580000" cy="1699492"/>
                    </a:xfrm>
                    <a:prstGeom prst="rect"/>
                  </pic:spPr>
                </pic:pic>
              </a:graphicData>
            </a:graphic>
          </wp:inline>
        </w:drawing>
      </w:r>
    </w:p>
    <w:p>
      <w:pPr>
        <w:spacing w:before="80" w:after="120" w:line="276" w:lineRule="auto"/>
        <w:jc w:val="center"/>
      </w:pPr>
      <w:r>
        <w:rPr>
          <w:b/>
          <w:sz w:val="19"/>
        </w:rPr>
        <w:t xml:space="preserve">Figura 2. </w:t>
      </w:r>
      <w:r>
        <w:rPr>
          <w:sz w:val="19"/>
        </w:rPr>
        <w:t xml:space="preserve">El comando </w:t>
      </w:r>
      <w:r>
        <w:rPr>
          <w:rFonts w:ascii="Consolas" w:hAnsi="Consolas" w:eastAsia="Consolas"/>
          <w:sz w:val="18"/>
        </w:rPr>
        <w:t>pytest</w:t>
      </w:r>
      <w:r>
        <w:rPr>
          <w:sz w:val="19"/>
        </w:rPr>
        <w:t xml:space="preserve"> sin </w:t>
      </w:r>
      <w:r>
        <w:rPr>
          <w:rFonts w:ascii="Consolas" w:hAnsi="Consolas" w:eastAsia="Consolas"/>
          <w:sz w:val="18"/>
        </w:rPr>
        <w:t>python -m</w:t>
      </w:r>
      <w:r>
        <w:rPr>
          <w:sz w:val="19"/>
        </w:rPr>
        <w:t xml:space="preserve"> no encuentra el paquete </w:t>
      </w:r>
      <w:r>
        <w:rPr>
          <w:rFonts w:ascii="Consolas" w:hAnsi="Consolas" w:eastAsia="Consolas"/>
          <w:sz w:val="18"/>
        </w:rPr>
        <w:t>src</w:t>
      </w:r>
      <w:r>
        <w:rPr>
          <w:sz w:val="19"/>
        </w:rPr>
        <w:t xml:space="preserve"> en el proyecto original. Es la forma en que lo invocaba el workflow del profesor.</w:t>
      </w:r>
    </w:p>
    <w:p>
      <w:pPr>
        <w:pStyle w:val="Ttulo2"/>
        <w:keepNext/>
      </w:pPr>
      <w:r>
        <w:t>1.2 Estrategia y matriz de pruebas</w:t>
      </w:r>
    </w:p>
    <w:p>
      <w:pPr>
        <w:spacing w:before="0" w:after="120" w:line="276" w:lineRule="auto"/>
        <w:jc w:val="both"/>
      </w:pPr>
      <w:r>
        <w:t xml:space="preserve">Clasificamos cada caso por el comportamiento que comprueba: </w:t>
      </w:r>
      <w:r>
        <w:rPr>
          <w:b/>
        </w:rPr>
        <w:t>éxito</w:t>
      </w:r>
      <w:r>
        <w:t xml:space="preserve"> cuando la operación se completa, </w:t>
      </w:r>
      <w:r>
        <w:rPr>
          <w:b/>
        </w:rPr>
        <w:t>error</w:t>
      </w:r>
      <w:r>
        <w:t xml:space="preserve"> cuando la regla debe rechazarla y </w:t>
      </w:r>
      <w:r>
        <w:rPr>
          <w:b/>
        </w:rPr>
        <w:t>límite</w:t>
      </w:r>
      <w:r>
        <w:t xml:space="preserve"> cuando el dato está justo en la frontera de la regla. Seguimos la pirámide de pruebas como referencia: la mayoría son unitarias de dominio y autorización, un grupo menor son de integración con SQLAlchemy y las de servicio sustituyen la pasarela con un mock. No hay pruebas extremo a extremo porque el proyecto base no tiene API ni interfaz.</w:t>
      </w:r>
    </w:p>
    <w:p>
      <w:pPr>
        <w:spacing w:before="0" w:after="120" w:line="276" w:lineRule="auto"/>
        <w:jc w:val="both"/>
      </w:pPr>
      <w:r>
        <w:t>La matriz del laboratorio (</w:t>
      </w:r>
      <w:r>
        <w:rPr>
          <w:rFonts w:ascii="Consolas" w:hAnsi="Consolas" w:eastAsia="Consolas"/>
          <w:sz w:val="18"/>
        </w:rPr>
        <w:t>matriz_pruebas_base.csv</w:t>
      </w:r>
      <w:r>
        <w:t xml:space="preserve">) tiene 27 casos: 8 de éxito, 11 de error, 7 de límite y 1 riesgo documentado. Reutilizamos los casos CP01–CP15 del profesor: se leen con </w:t>
      </w:r>
      <w:r>
        <w:rPr>
          <w:rFonts w:ascii="Consolas" w:hAnsi="Consolas" w:eastAsia="Consolas"/>
          <w:sz w:val="18"/>
        </w:rPr>
        <w:t>csv.DictReader</w:t>
      </w:r>
      <w:r>
        <w:t xml:space="preserve"> en </w:t>
      </w:r>
      <w:r>
        <w:rPr>
          <w:rFonts w:ascii="Consolas" w:hAnsi="Consolas" w:eastAsia="Consolas"/>
          <w:sz w:val="18"/>
        </w:rPr>
        <w:t>tests/test_casos_csv.py</w:t>
      </w:r>
      <w:r>
        <w:t xml:space="preserve"> y también aparecen en la matriz. Las columnas «Resultado real» y «Estado» no se escribieron a mano: las genera </w:t>
      </w:r>
      <w:r>
        <w:rPr>
          <w:rFonts w:ascii="Consolas" w:hAnsi="Consolas" w:eastAsia="Consolas"/>
          <w:sz w:val="18"/>
        </w:rPr>
        <w:t>herramientas/generar_matrices.py</w:t>
      </w:r>
      <w:r>
        <w:t xml:space="preserve"> a partir del archivo JUnit XML de la ejecución final.</w:t>
      </w:r>
    </w:p>
    <w:p>
      <w:pPr>
        <w:pStyle w:val="Ttulo2"/>
        <w:keepNext/>
      </w:pPr>
      <w:r>
        <w:t>1.3 Pruebas unitarias y reglas de dominio</w:t>
      </w:r>
    </w:p>
    <w:p>
      <w:pPr>
        <w:spacing w:before="0" w:after="120" w:line="276" w:lineRule="auto"/>
        <w:jc w:val="both"/>
      </w:pPr>
      <w:r>
        <w:t>Las pruebas siguen el patrón Arrange–Act–Assert y comprueban a la vez el valor calculado y el estado final. Además de los casos pedidos (VIP de 200 con descuento de 30 y cobro de 170; regular de 200; total cero y negativo; cliente con deuda), agregamos límites que salen del propio código: total de 0.01 VIP (el 15 % redondeado es 0.00), deuda exactamente 0 frente a deuda de 0.01, el redondeo de 99.99 VIP (descuento 15.00, cobro 84.99) y la prioridad de la validación del total sobre la de deuda.</w:t>
      </w:r>
    </w:p>
    <w:p>
      <w:pPr>
        <w:spacing w:before="40" w:after="160" w:line="240" w:lineRule="auto"/>
        <w:shd w:val="clear" w:color="auto" w:fill="F2F4F7"/>
        <w:ind w:left="170" w:right="170"/>
      </w:pPr>
      <w:r>
        <w:rPr>
          <w:rFonts w:ascii="Consolas" w:hAnsi="Consolas" w:eastAsia="Consolas"/>
          <w:sz w:val="17"/>
        </w:rPr>
        <w:t>def test_pedido_vip_200_descuento_30_cobro_170():</w:t>
        <w:br/>
      </w:r>
      <w:r>
        <w:rPr>
          <w:rFonts w:ascii="Consolas" w:hAnsi="Consolas" w:eastAsia="Consolas"/>
          <w:sz w:val="17"/>
        </w:rPr>
        <w:t xml:space="preserve">    # Arrange</w:t>
        <w:br/>
      </w:r>
      <w:r>
        <w:rPr>
          <w:rFonts w:ascii="Consolas" w:hAnsi="Consolas" w:eastAsia="Consolas"/>
          <w:sz w:val="17"/>
        </w:rPr>
        <w:t xml:space="preserve">    order = Order(200, vip=True)</w:t>
        <w:br/>
      </w:r>
      <w:r>
        <w:rPr>
          <w:rFonts w:ascii="Consolas" w:hAnsi="Consolas" w:eastAsia="Consolas"/>
          <w:sz w:val="17"/>
        </w:rPr>
        <w:t xml:space="preserve">    # Act</w:t>
        <w:br/>
      </w:r>
      <w:r>
        <w:rPr>
          <w:rFonts w:ascii="Consolas" w:hAnsi="Consolas" w:eastAsia="Consolas"/>
          <w:sz w:val="17"/>
        </w:rPr>
        <w:t xml:space="preserve">    importe = order.confirm()</w:t>
        <w:br/>
      </w:r>
      <w:r>
        <w:rPr>
          <w:rFonts w:ascii="Consolas" w:hAnsi="Consolas" w:eastAsia="Consolas"/>
          <w:sz w:val="17"/>
        </w:rPr>
        <w:t xml:space="preserve">    # Assert</w:t>
        <w:br/>
      </w:r>
      <w:r>
        <w:rPr>
          <w:rFonts w:ascii="Consolas" w:hAnsi="Consolas" w:eastAsia="Consolas"/>
          <w:sz w:val="17"/>
        </w:rPr>
        <w:t xml:space="preserve">    assert order.discount == 30</w:t>
        <w:br/>
      </w:r>
      <w:r>
        <w:rPr>
          <w:rFonts w:ascii="Consolas" w:hAnsi="Consolas" w:eastAsia="Consolas"/>
          <w:sz w:val="17"/>
        </w:rPr>
        <w:t xml:space="preserve">    assert importe == 170</w:t>
        <w:br/>
      </w:r>
      <w:r>
        <w:rPr>
          <w:rFonts w:ascii="Consolas" w:hAnsi="Consolas" w:eastAsia="Consolas"/>
          <w:sz w:val="17"/>
        </w:rPr>
        <w:t xml:space="preserve">    assert order.status == "CONFIRMED"</w:t>
      </w:r>
    </w:p>
    <w:p>
      <w:pPr>
        <w:keepNext/>
        <w:spacing w:before="120"/>
        <w:jc w:val="center"/>
      </w:pPr>
      <w:r>
        <w:drawing>
          <wp:inline xmlns:a="http://schemas.openxmlformats.org/drawingml/2006/main" xmlns:pic="http://schemas.openxmlformats.org/drawingml/2006/picture">
            <wp:extent cx="5580000" cy="2719188"/>
            <wp:docPr id="3" name="Picture 3"/>
            <wp:cNvGraphicFramePr>
              <a:graphicFrameLocks noChangeAspect="1"/>
            </wp:cNvGraphicFramePr>
            <a:graphic>
              <a:graphicData uri="http://schemas.openxmlformats.org/drawingml/2006/picture">
                <pic:pic>
                  <pic:nvPicPr>
                    <pic:cNvPr id="0" name="E2_01_pytest_test_order.png"/>
                    <pic:cNvPicPr/>
                  </pic:nvPicPr>
                  <pic:blipFill>
                    <a:blip r:embed="rId20"/>
                    <a:stretch>
                      <a:fillRect/>
                    </a:stretch>
                  </pic:blipFill>
                  <pic:spPr>
                    <a:xfrm>
                      <a:off x="0" y="0"/>
                      <a:ext cx="5580000" cy="2719188"/>
                    </a:xfrm>
                    <a:prstGeom prst="rect"/>
                  </pic:spPr>
                </pic:pic>
              </a:graphicData>
            </a:graphic>
          </wp:inline>
        </w:drawing>
      </w:r>
    </w:p>
    <w:p>
      <w:pPr>
        <w:spacing w:before="80" w:after="120" w:line="276" w:lineRule="auto"/>
        <w:jc w:val="center"/>
      </w:pPr>
      <w:r>
        <w:rPr>
          <w:b/>
          <w:sz w:val="19"/>
        </w:rPr>
        <w:t xml:space="preserve">Figura 3. </w:t>
      </w:r>
      <w:r>
        <w:rPr>
          <w:sz w:val="19"/>
        </w:rPr>
        <w:t>Pruebas unitarias del dominio (E2): 16 aprobadas, incluidas VIP 200 → 170 y regular 200 → 200.</w:t>
      </w:r>
    </w:p>
    <w:p>
      <w:pPr>
        <w:pStyle w:val="Ttulo2"/>
        <w:keepNext/>
      </w:pPr>
      <w:r>
        <w:t>1.4 TDD: Red, Green y Refactor</w:t>
      </w:r>
    </w:p>
    <w:p>
      <w:pPr>
        <w:spacing w:before="0" w:after="120" w:line="276" w:lineRule="auto"/>
        <w:jc w:val="both"/>
      </w:pPr>
      <w:r>
        <w:rPr>
          <w:b/>
        </w:rPr>
        <w:t>Red.</w:t>
      </w:r>
      <w:r>
        <w:t xml:space="preserve"> Agregamos </w:t>
      </w:r>
      <w:r>
        <w:rPr>
          <w:rFonts w:ascii="Consolas" w:hAnsi="Consolas" w:eastAsia="Consolas"/>
          <w:sz w:val="18"/>
        </w:rPr>
        <w:t>test_cannot_confirm_twice</w:t>
      </w:r>
      <w:r>
        <w:t xml:space="preserve"> (el texto de la guía) y lo ejecutamos antes de cambiar </w:t>
      </w:r>
      <w:r>
        <w:rPr>
          <w:rFonts w:ascii="Consolas" w:hAnsi="Consolas" w:eastAsia="Consolas"/>
          <w:sz w:val="18"/>
        </w:rPr>
        <w:t>src/domain.py</w:t>
      </w:r>
      <w:r>
        <w:t xml:space="preserve">. Falló con </w:t>
      </w:r>
      <w:r>
        <w:rPr>
          <w:rFonts w:ascii="Consolas" w:hAnsi="Consolas" w:eastAsia="Consolas"/>
          <w:sz w:val="18"/>
        </w:rPr>
        <w:t>DID NOT RAISE ValueError</w:t>
      </w:r>
      <w:r>
        <w:t>, la causa esperada: la versión original volvía a confirmar el pedido y recalculaba el descuento sin protesta. Ese commit quedó en el historial como «TDD RED».</w:t>
      </w:r>
    </w:p>
    <w:p>
      <w:pPr>
        <w:spacing w:before="0" w:after="120" w:line="276" w:lineRule="auto"/>
        <w:jc w:val="both"/>
      </w:pPr>
      <w:r>
        <w:rPr>
          <w:b/>
        </w:rPr>
        <w:t>Green.</w:t>
      </w:r>
      <w:r>
        <w:t xml:space="preserve"> El cambio mínimo fue una guarda al inicio de </w:t>
      </w:r>
      <w:r>
        <w:rPr>
          <w:rFonts w:ascii="Consolas" w:hAnsi="Consolas" w:eastAsia="Consolas"/>
          <w:sz w:val="18"/>
        </w:rPr>
        <w:t>confirm()</w:t>
      </w:r>
      <w:r>
        <w:t>. Con ella la prueba pasó y la suite completa (25 pruebas en ese momento) siguió aprobada.</w:t>
      </w:r>
    </w:p>
    <w:p>
      <w:pPr>
        <w:spacing w:before="40" w:after="160" w:line="240" w:lineRule="auto"/>
        <w:shd w:val="clear" w:color="auto" w:fill="F2F4F7"/>
        <w:ind w:left="170" w:right="170"/>
      </w:pPr>
      <w:r>
        <w:rPr>
          <w:rFonts w:ascii="Consolas" w:hAnsi="Consolas" w:eastAsia="Consolas"/>
          <w:sz w:val="17"/>
        </w:rPr>
        <w:t xml:space="preserve">    def confirm(self, customer_debt=0):</w:t>
        <w:br/>
      </w:r>
      <w:r>
        <w:rPr>
          <w:rFonts w:ascii="Consolas" w:hAnsi="Consolas" w:eastAsia="Consolas"/>
          <w:sz w:val="17"/>
        </w:rPr>
        <w:t>+        if self.status == "CONFIRMED":</w:t>
        <w:br/>
      </w:r>
      <w:r>
        <w:rPr>
          <w:rFonts w:ascii="Consolas" w:hAnsi="Consolas" w:eastAsia="Consolas"/>
          <w:sz w:val="17"/>
        </w:rPr>
        <w:t>+            raise ValueError("already confirmed")</w:t>
        <w:br/>
      </w:r>
      <w:r>
        <w:rPr>
          <w:rFonts w:ascii="Consolas" w:hAnsi="Consolas" w:eastAsia="Consolas"/>
          <w:sz w:val="17"/>
        </w:rPr>
        <w:t xml:space="preserve">         if self.total &lt;= 0:</w:t>
      </w:r>
    </w:p>
    <w:p>
      <w:pPr>
        <w:spacing w:before="0" w:after="120" w:line="276" w:lineRule="auto"/>
        <w:jc w:val="both"/>
      </w:pPr>
      <w:r>
        <w:rPr>
          <w:b/>
        </w:rPr>
        <w:t>Refactor.</w:t>
      </w:r>
      <w:r>
        <w:t xml:space="preserve"> Extraímos las tres validaciones a </w:t>
      </w:r>
      <w:r>
        <w:rPr>
          <w:rFonts w:ascii="Consolas" w:hAnsi="Consolas" w:eastAsia="Consolas"/>
          <w:sz w:val="18"/>
        </w:rPr>
        <w:t>_ensure_can_confirm()</w:t>
      </w:r>
      <w:r>
        <w:t xml:space="preserve"> y las cadenas de estado a constantes, con el mismo orden y los mismos mensajes. Añadimos dos pruebas que protegen ese comportamiento: un segundo intento no altera descuento ni estado, y un pedido que ya llega como </w:t>
      </w:r>
      <w:r>
        <w:rPr>
          <w:rFonts w:ascii="Consolas" w:hAnsi="Consolas" w:eastAsia="Consolas"/>
          <w:sz w:val="18"/>
        </w:rPr>
        <w:t>CONFIRMED</w:t>
      </w:r>
      <w:r>
        <w:t xml:space="preserve"> (caso CP08) se rechaza. La suite volvió a pasar completa.</w:t>
      </w:r>
    </w:p>
    <w:p>
      <w:pPr>
        <w:spacing w:before="0" w:after="120" w:line="276" w:lineRule="auto"/>
        <w:jc w:val="both"/>
      </w:pPr>
      <w:r>
        <w:t>La diferencia con «ejecutar pruebas después de programar» es el orden: la prueba define la regla antes de que exista el código, y el fallo inicial demuestra que la prueba sí detecta la ausencia de la regla. Una prueba escrita al final podría pasar sin haber fallado nunca y no sabríamos si verifica algo.</w:t>
      </w:r>
    </w:p>
    <w:p>
      <w:pPr>
        <w:keepNext/>
        <w:spacing w:before="120"/>
        <w:jc w:val="center"/>
      </w:pPr>
      <w:r>
        <w:drawing>
          <wp:inline xmlns:a="http://schemas.openxmlformats.org/drawingml/2006/main" xmlns:pic="http://schemas.openxmlformats.org/drawingml/2006/picture">
            <wp:extent cx="5580000" cy="2549239"/>
            <wp:docPr id="4" name="Picture 4"/>
            <wp:cNvGraphicFramePr>
              <a:graphicFrameLocks noChangeAspect="1"/>
            </wp:cNvGraphicFramePr>
            <a:graphic>
              <a:graphicData uri="http://schemas.openxmlformats.org/drawingml/2006/picture">
                <pic:pic>
                  <pic:nvPicPr>
                    <pic:cNvPr id="0" name="E3_01_RED.png"/>
                    <pic:cNvPicPr/>
                  </pic:nvPicPr>
                  <pic:blipFill>
                    <a:blip r:embed="rId21"/>
                    <a:stretch>
                      <a:fillRect/>
                    </a:stretch>
                  </pic:blipFill>
                  <pic:spPr>
                    <a:xfrm>
                      <a:off x="0" y="0"/>
                      <a:ext cx="5580000" cy="2549239"/>
                    </a:xfrm>
                    <a:prstGeom prst="rect"/>
                  </pic:spPr>
                </pic:pic>
              </a:graphicData>
            </a:graphic>
          </wp:inline>
        </w:drawing>
      </w:r>
    </w:p>
    <w:p>
      <w:pPr>
        <w:spacing w:before="80" w:after="120" w:line="276" w:lineRule="auto"/>
        <w:jc w:val="center"/>
      </w:pPr>
      <w:r>
        <w:rPr>
          <w:b/>
          <w:sz w:val="19"/>
        </w:rPr>
        <w:t xml:space="preserve">Figura 4. </w:t>
      </w:r>
      <w:r>
        <w:rPr>
          <w:sz w:val="19"/>
        </w:rPr>
        <w:t>Fase RED (E3): la prueba falla porque el código permite confirmar dos veces.</w:t>
      </w:r>
    </w:p>
    <w:p>
      <w:pPr>
        <w:keepNext/>
        <w:spacing w:before="120"/>
        <w:jc w:val="center"/>
      </w:pPr>
      <w:r>
        <w:drawing>
          <wp:inline xmlns:a="http://schemas.openxmlformats.org/drawingml/2006/main" xmlns:pic="http://schemas.openxmlformats.org/drawingml/2006/picture">
            <wp:extent cx="5580000" cy="1450863"/>
            <wp:docPr id="5" name="Picture 5"/>
            <wp:cNvGraphicFramePr>
              <a:graphicFrameLocks noChangeAspect="1"/>
            </wp:cNvGraphicFramePr>
            <a:graphic>
              <a:graphicData uri="http://schemas.openxmlformats.org/drawingml/2006/picture">
                <pic:pic>
                  <pic:nvPicPr>
                    <pic:cNvPr id="0" name="E3_03_GREEN.png"/>
                    <pic:cNvPicPr/>
                  </pic:nvPicPr>
                  <pic:blipFill>
                    <a:blip r:embed="rId22"/>
                    <a:stretch>
                      <a:fillRect/>
                    </a:stretch>
                  </pic:blipFill>
                  <pic:spPr>
                    <a:xfrm>
                      <a:off x="0" y="0"/>
                      <a:ext cx="5580000" cy="1450863"/>
                    </a:xfrm>
                    <a:prstGeom prst="rect"/>
                  </pic:spPr>
                </pic:pic>
              </a:graphicData>
            </a:graphic>
          </wp:inline>
        </w:drawing>
      </w:r>
    </w:p>
    <w:p>
      <w:pPr>
        <w:spacing w:before="80" w:after="120" w:line="276" w:lineRule="auto"/>
        <w:jc w:val="center"/>
      </w:pPr>
      <w:r>
        <w:rPr>
          <w:b/>
          <w:sz w:val="19"/>
        </w:rPr>
        <w:t xml:space="preserve">Figura 5. </w:t>
      </w:r>
      <w:r>
        <w:rPr>
          <w:sz w:val="19"/>
        </w:rPr>
        <w:t>Fase GREEN (E3): con la guarda mínima la prueba pasa.</w:t>
      </w:r>
    </w:p>
    <w:p>
      <w:pPr>
        <w:keepNext/>
        <w:spacing w:before="120"/>
        <w:jc w:val="center"/>
      </w:pPr>
      <w:r>
        <w:drawing>
          <wp:inline xmlns:a="http://schemas.openxmlformats.org/drawingml/2006/main" xmlns:pic="http://schemas.openxmlformats.org/drawingml/2006/picture">
            <wp:extent cx="5580000" cy="1365888"/>
            <wp:docPr id="6" name="Picture 6"/>
            <wp:cNvGraphicFramePr>
              <a:graphicFrameLocks noChangeAspect="1"/>
            </wp:cNvGraphicFramePr>
            <a:graphic>
              <a:graphicData uri="http://schemas.openxmlformats.org/drawingml/2006/picture">
                <pic:pic>
                  <pic:nvPicPr>
                    <pic:cNvPr id="0" name="E3_06_REFACTOR_suite_completa_l32-41.png"/>
                    <pic:cNvPicPr/>
                  </pic:nvPicPr>
                  <pic:blipFill>
                    <a:blip r:embed="rId23"/>
                    <a:stretch>
                      <a:fillRect/>
                    </a:stretch>
                  </pic:blipFill>
                  <pic:spPr>
                    <a:xfrm>
                      <a:off x="0" y="0"/>
                      <a:ext cx="5580000" cy="1365888"/>
                    </a:xfrm>
                    <a:prstGeom prst="rect"/>
                  </pic:spPr>
                </pic:pic>
              </a:graphicData>
            </a:graphic>
          </wp:inline>
        </w:drawing>
      </w:r>
    </w:p>
    <w:p>
      <w:pPr>
        <w:spacing w:before="80" w:after="120" w:line="276" w:lineRule="auto"/>
        <w:jc w:val="center"/>
      </w:pPr>
      <w:r>
        <w:rPr>
          <w:b/>
          <w:sz w:val="19"/>
        </w:rPr>
        <w:t xml:space="preserve">Figura 6. </w:t>
      </w:r>
      <w:r>
        <w:rPr>
          <w:sz w:val="19"/>
        </w:rPr>
        <w:t>Suite completa después del refactor (E3).</w:t>
      </w:r>
    </w:p>
    <w:p>
      <w:pPr>
        <w:keepNext/>
        <w:spacing w:before="120"/>
        <w:jc w:val="center"/>
      </w:pPr>
      <w:r>
        <w:drawing>
          <wp:inline xmlns:a="http://schemas.openxmlformats.org/drawingml/2006/main" xmlns:pic="http://schemas.openxmlformats.org/drawingml/2006/picture">
            <wp:extent cx="5580000" cy="1280914"/>
            <wp:docPr id="7" name="Picture 7"/>
            <wp:cNvGraphicFramePr>
              <a:graphicFrameLocks noChangeAspect="1"/>
            </wp:cNvGraphicFramePr>
            <a:graphic>
              <a:graphicData uri="http://schemas.openxmlformats.org/drawingml/2006/picture">
                <pic:pic>
                  <pic:nvPicPr>
                    <pic:cNvPr id="0" name="E3_07_historial_git.png"/>
                    <pic:cNvPicPr/>
                  </pic:nvPicPr>
                  <pic:blipFill>
                    <a:blip r:embed="rId24"/>
                    <a:stretch>
                      <a:fillRect/>
                    </a:stretch>
                  </pic:blipFill>
                  <pic:spPr>
                    <a:xfrm>
                      <a:off x="0" y="0"/>
                      <a:ext cx="5580000" cy="1280914"/>
                    </a:xfrm>
                    <a:prstGeom prst="rect"/>
                  </pic:spPr>
                </pic:pic>
              </a:graphicData>
            </a:graphic>
          </wp:inline>
        </w:drawing>
      </w:r>
    </w:p>
    <w:p>
      <w:pPr>
        <w:spacing w:before="80" w:after="120" w:line="276" w:lineRule="auto"/>
        <w:jc w:val="center"/>
      </w:pPr>
      <w:r>
        <w:rPr>
          <w:b/>
          <w:sz w:val="19"/>
        </w:rPr>
        <w:t xml:space="preserve">Figura 7. </w:t>
      </w:r>
      <w:r>
        <w:rPr>
          <w:sz w:val="19"/>
        </w:rPr>
        <w:t>Historial de Git del laboratorio con los commits RED, GREEN y REFACTOR.</w:t>
      </w:r>
    </w:p>
    <w:p>
      <w:pPr>
        <w:pStyle w:val="Ttulo2"/>
        <w:keepNext/>
      </w:pPr>
      <w:r>
        <w:t>1.5 Persistencia y transacciones</w:t>
      </w:r>
    </w:p>
    <w:p>
      <w:pPr>
        <w:spacing w:before="0" w:after="120" w:line="276" w:lineRule="auto"/>
        <w:jc w:val="both"/>
      </w:pPr>
      <w:r>
        <w:t xml:space="preserve">Las pruebas de </w:t>
      </w:r>
      <w:r>
        <w:rPr>
          <w:rFonts w:ascii="Consolas" w:hAnsi="Consolas" w:eastAsia="Consolas"/>
          <w:sz w:val="18"/>
        </w:rPr>
        <w:t>tests/test_repository.py</w:t>
      </w:r>
      <w:r>
        <w:t xml:space="preserve"> usan SQLite en memoria; ninguna toca la base didáctica </w:t>
      </w:r>
      <w:r>
        <w:rPr>
          <w:rFonts w:ascii="Consolas" w:hAnsi="Consolas" w:eastAsia="Consolas"/>
          <w:sz w:val="18"/>
        </w:rPr>
        <w:t>pedidos_prueba.sqlite3</w:t>
      </w:r>
      <w:r>
        <w:t xml:space="preserve"> ni datos reales. Cada prueba recibe un motor nuevo por fixture, la sesión se cierra con </w:t>
      </w:r>
      <w:r>
        <w:rPr>
          <w:rFonts w:ascii="Consolas" w:hAnsi="Consolas" w:eastAsia="Consolas"/>
          <w:sz w:val="18"/>
        </w:rPr>
        <w:t>with</w:t>
      </w:r>
      <w:r>
        <w:t xml:space="preserve"> y el motor se libera con </w:t>
      </w:r>
      <w:r>
        <w:rPr>
          <w:rFonts w:ascii="Consolas" w:hAnsi="Consolas" w:eastAsia="Consolas"/>
          <w:sz w:val="18"/>
        </w:rPr>
        <w:t>engine.dispose()</w:t>
      </w:r>
      <w:r>
        <w:t xml:space="preserve">. Verificamos: el pedido con id 2 y total 250 leído desde una </w:t>
      </w:r>
      <w:r>
        <w:rPr>
          <w:b/>
        </w:rPr>
        <w:t>sesión nueva</w:t>
      </w:r>
      <w:r>
        <w:t xml:space="preserve"> después del commit (así no se lee del mapa de identidad de la sesión que escribió); un rollback que descarta solo lo no confirmado; que cerrar la sesión sin commit no persiste nada; y dos restricciones de integridad: id duplicado y total nulo.</w:t>
      </w:r>
    </w:p>
    <w:p>
      <w:pPr>
        <w:spacing w:before="40" w:after="160" w:line="240" w:lineRule="auto"/>
        <w:shd w:val="clear" w:color="auto" w:fill="F2F4F7"/>
        <w:ind w:left="170" w:right="170"/>
      </w:pPr>
      <w:r>
        <w:rPr>
          <w:rFonts w:ascii="Consolas" w:hAnsi="Consolas" w:eastAsia="Consolas"/>
          <w:sz w:val="17"/>
        </w:rPr>
        <w:t>def test_rollback_deshace_solo_lo_no_confirmado(engine):</w:t>
        <w:br/>
      </w:r>
      <w:r>
        <w:rPr>
          <w:rFonts w:ascii="Consolas" w:hAnsi="Consolas" w:eastAsia="Consolas"/>
          <w:sz w:val="17"/>
        </w:rPr>
        <w:t xml:space="preserve">    with Session(engine) as s:</w:t>
        <w:br/>
      </w:r>
      <w:r>
        <w:rPr>
          <w:rFonts w:ascii="Consolas" w:hAnsi="Consolas" w:eastAsia="Consolas"/>
          <w:sz w:val="17"/>
        </w:rPr>
        <w:t xml:space="preserve">        repo = SqlOrderRepository(s)</w:t>
        <w:br/>
      </w:r>
      <w:r>
        <w:rPr>
          <w:rFonts w:ascii="Consolas" w:hAnsi="Consolas" w:eastAsia="Consolas"/>
          <w:sz w:val="17"/>
        </w:rPr>
        <w:t xml:space="preserve">        repo.save(1, Order(120)); s.commit()        # confirmado</w:t>
        <w:br/>
      </w:r>
      <w:r>
        <w:rPr>
          <w:rFonts w:ascii="Consolas" w:hAnsi="Consolas" w:eastAsia="Consolas"/>
          <w:sz w:val="17"/>
        </w:rPr>
        <w:t xml:space="preserve">        repo.save(2, Order(250)); s.flush()         # enviado, transacción abierta</w:t>
        <w:br/>
      </w:r>
      <w:r>
        <w:rPr>
          <w:rFonts w:ascii="Consolas" w:hAnsi="Consolas" w:eastAsia="Consolas"/>
          <w:sz w:val="17"/>
        </w:rPr>
        <w:t xml:space="preserve">        assert s.scalar(select(func.count()).select_from(OrderRow)) == 2</w:t>
        <w:br/>
      </w:r>
      <w:r>
        <w:rPr>
          <w:rFonts w:ascii="Consolas" w:hAnsi="Consolas" w:eastAsia="Consolas"/>
          <w:sz w:val="17"/>
        </w:rPr>
        <w:t xml:space="preserve">        s.rollback()                                 # se descarta el pedido 2</w:t>
        <w:br/>
      </w:r>
      <w:r>
        <w:rPr>
          <w:rFonts w:ascii="Consolas" w:hAnsi="Consolas" w:eastAsia="Consolas"/>
          <w:sz w:val="17"/>
        </w:rPr>
        <w:t xml:space="preserve">    with Session(engine) as s:</w:t>
        <w:br/>
      </w:r>
      <w:r>
        <w:rPr>
          <w:rFonts w:ascii="Consolas" w:hAnsi="Consolas" w:eastAsia="Consolas"/>
          <w:sz w:val="17"/>
        </w:rPr>
        <w:t xml:space="preserve">        assert s.scalars(select(OrderRow.id).order_by(OrderRow.id)).all() == [1]</w:t>
      </w:r>
    </w:p>
    <w:p>
      <w:pPr>
        <w:spacing w:before="0" w:after="120" w:line="276" w:lineRule="auto"/>
        <w:jc w:val="both"/>
      </w:pPr>
      <w:r>
        <w:rPr>
          <w:b/>
        </w:rPr>
        <w:t>Commit y rollback.</w:t>
      </w:r>
      <w:r>
        <w:t xml:space="preserve"> </w:t>
      </w:r>
      <w:r>
        <w:rPr>
          <w:rFonts w:ascii="Consolas" w:hAnsi="Consolas" w:eastAsia="Consolas"/>
          <w:sz w:val="18"/>
        </w:rPr>
        <w:t>commit()</w:t>
      </w:r>
      <w:r>
        <w:t xml:space="preserve"> cierra la transacción y hace permanentes sus cambios: otra sesión puede leerlos. </w:t>
      </w:r>
      <w:r>
        <w:rPr>
          <w:rFonts w:ascii="Consolas" w:hAnsi="Consolas" w:eastAsia="Consolas"/>
          <w:sz w:val="18"/>
        </w:rPr>
        <w:t>rollback()</w:t>
      </w:r>
      <w:r>
        <w:t xml:space="preserve"> descarta todo lo hecho desde el inicio de la transacción, aunque ya se haya enviado con </w:t>
      </w:r>
      <w:r>
        <w:rPr>
          <w:rFonts w:ascii="Consolas" w:hAnsi="Consolas" w:eastAsia="Consolas"/>
          <w:sz w:val="18"/>
        </w:rPr>
        <w:t>flush()</w:t>
      </w:r>
      <w:r>
        <w:t>. El rollback no deshace lo que ya se confirmó antes, como muestra la prueba anterior.</w:t>
      </w:r>
    </w:p>
    <w:p>
      <w:pPr>
        <w:keepNext/>
        <w:spacing w:before="120"/>
        <w:jc w:val="center"/>
      </w:pPr>
      <w:r>
        <w:drawing>
          <wp:inline xmlns:a="http://schemas.openxmlformats.org/drawingml/2006/main" xmlns:pic="http://schemas.openxmlformats.org/drawingml/2006/picture">
            <wp:extent cx="5580000" cy="2039391"/>
            <wp:docPr id="8" name="Picture 8"/>
            <wp:cNvGraphicFramePr>
              <a:graphicFrameLocks noChangeAspect="1"/>
            </wp:cNvGraphicFramePr>
            <a:graphic>
              <a:graphicData uri="http://schemas.openxmlformats.org/drawingml/2006/picture">
                <pic:pic>
                  <pic:nvPicPr>
                    <pic:cNvPr id="0" name="E4_01_pytest_repository.png"/>
                    <pic:cNvPicPr/>
                  </pic:nvPicPr>
                  <pic:blipFill>
                    <a:blip r:embed="rId25"/>
                    <a:stretch>
                      <a:fillRect/>
                    </a:stretch>
                  </pic:blipFill>
                  <pic:spPr>
                    <a:xfrm>
                      <a:off x="0" y="0"/>
                      <a:ext cx="5580000" cy="2039391"/>
                    </a:xfrm>
                    <a:prstGeom prst="rect"/>
                  </pic:spPr>
                </pic:pic>
              </a:graphicData>
            </a:graphic>
          </wp:inline>
        </w:drawing>
      </w:r>
    </w:p>
    <w:p>
      <w:pPr>
        <w:spacing w:before="80" w:after="120" w:line="276" w:lineRule="auto"/>
        <w:jc w:val="center"/>
      </w:pPr>
      <w:r>
        <w:rPr>
          <w:b/>
          <w:sz w:val="19"/>
        </w:rPr>
        <w:t xml:space="preserve">Figura 8. </w:t>
      </w:r>
      <w:r>
        <w:rPr>
          <w:sz w:val="19"/>
        </w:rPr>
        <w:t>Pruebas de persistencia (E4): guardado, commit, rollback y restricciones.</w:t>
      </w:r>
    </w:p>
    <w:p>
      <w:pPr>
        <w:pStyle w:val="Ttulo2"/>
        <w:keepNext/>
      </w:pPr>
      <w:r>
        <w:t>1.6 Servicios externos y mocks</w:t>
      </w:r>
    </w:p>
    <w:p>
      <w:pPr>
        <w:spacing w:before="0" w:after="120" w:line="276" w:lineRule="auto"/>
        <w:jc w:val="both"/>
      </w:pPr>
      <w:r>
        <w:t xml:space="preserve">La pasarela se sustituye por </w:t>
      </w:r>
      <w:r>
        <w:rPr>
          <w:rFonts w:ascii="Consolas" w:hAnsi="Consolas" w:eastAsia="Consolas"/>
          <w:sz w:val="18"/>
        </w:rPr>
        <w:t>Mock(spec_set=["charge"])</w:t>
      </w:r>
      <w:r>
        <w:t xml:space="preserve">, de modo que un atributo mal escrito hace fallar la prueba y ningún cobro sale del proceso. Probamos el pago aprobado (VIP 200 devuelve 170), el rechazado (se intentó cobrar 170 y se lanzó </w:t>
      </w:r>
      <w:r>
        <w:rPr>
          <w:rFonts w:ascii="Consolas" w:hAnsi="Consolas" w:eastAsia="Consolas"/>
          <w:sz w:val="18"/>
        </w:rPr>
        <w:t>RuntimeError("payment rejected")</w:t>
      </w:r>
      <w:r>
        <w:t xml:space="preserve">), el timeout y que la pasarela no se llama cuando el dominio rechaza el pedido. El servicio no implementa reintentos ni circuit breaker; por eso la prueba de timeout verifica que la excepción se propaga y que hubo </w:t>
      </w:r>
      <w:r>
        <w:rPr>
          <w:b/>
        </w:rPr>
        <w:t>un solo</w:t>
      </w:r>
      <w:r>
        <w:t xml:space="preserve"> intento, sin suponer políticas que no existen.</w:t>
      </w:r>
    </w:p>
    <w:p>
      <w:pPr>
        <w:spacing w:before="40" w:after="160" w:line="240" w:lineRule="auto"/>
        <w:shd w:val="clear" w:color="auto" w:fill="F2F4F7"/>
        <w:ind w:left="170" w:right="170"/>
      </w:pPr>
      <w:r>
        <w:rPr>
          <w:rFonts w:ascii="Consolas" w:hAnsi="Consolas" w:eastAsia="Consolas"/>
          <w:sz w:val="17"/>
        </w:rPr>
        <w:t>def test_pago_rechazado_vip_200_intenta_cobrar_170_y_lanza_runtimeerror():</w:t>
        <w:br/>
      </w:r>
      <w:r>
        <w:rPr>
          <w:rFonts w:ascii="Consolas" w:hAnsi="Consolas" w:eastAsia="Consolas"/>
          <w:sz w:val="17"/>
        </w:rPr>
        <w:t xml:space="preserve">    gateway = pasarela(False)</w:t>
        <w:br/>
      </w:r>
      <w:r>
        <w:rPr>
          <w:rFonts w:ascii="Consolas" w:hAnsi="Consolas" w:eastAsia="Consolas"/>
          <w:sz w:val="17"/>
        </w:rPr>
        <w:t xml:space="preserve">    order = Order(200, vip=True)</w:t>
        <w:br/>
      </w:r>
      <w:r>
        <w:rPr>
          <w:rFonts w:ascii="Consolas" w:hAnsi="Consolas" w:eastAsia="Consolas"/>
          <w:sz w:val="17"/>
        </w:rPr>
        <w:t xml:space="preserve">    with pytest.raises(RuntimeError, match="payment rejected"):</w:t>
        <w:br/>
      </w:r>
      <w:r>
        <w:rPr>
          <w:rFonts w:ascii="Consolas" w:hAnsi="Consolas" w:eastAsia="Consolas"/>
          <w:sz w:val="17"/>
        </w:rPr>
        <w:t xml:space="preserve">        OrderService(gateway).checkout(order)</w:t>
        <w:br/>
      </w:r>
      <w:r>
        <w:rPr>
          <w:rFonts w:ascii="Consolas" w:hAnsi="Consolas" w:eastAsia="Consolas"/>
          <w:sz w:val="17"/>
        </w:rPr>
        <w:t xml:space="preserve">    gateway.charge.assert_called_once_with(170)</w:t>
      </w:r>
    </w:p>
    <w:p>
      <w:pPr>
        <w:spacing w:before="0" w:after="120" w:line="276" w:lineRule="auto"/>
        <w:jc w:val="both"/>
      </w:pPr>
      <w:r>
        <w:rPr>
          <w:b/>
        </w:rPr>
        <w:t>Riesgo identificado.</w:t>
      </w:r>
      <w:r>
        <w:t xml:space="preserve"> </w:t>
      </w:r>
      <w:r>
        <w:rPr>
          <w:rFonts w:ascii="Consolas" w:hAnsi="Consolas" w:eastAsia="Consolas"/>
          <w:sz w:val="18"/>
        </w:rPr>
        <w:t>checkout()</w:t>
      </w:r>
      <w:r>
        <w:t xml:space="preserve"> llama a </w:t>
      </w:r>
      <w:r>
        <w:rPr>
          <w:rFonts w:ascii="Consolas" w:hAnsi="Consolas" w:eastAsia="Consolas"/>
          <w:sz w:val="18"/>
        </w:rPr>
        <w:t>confirm()</w:t>
      </w:r>
      <w:r>
        <w:t xml:space="preserve"> antes de cobrar; si el pago se rechaza, el pedido queda </w:t>
      </w:r>
      <w:r>
        <w:rPr>
          <w:rFonts w:ascii="Consolas" w:hAnsi="Consolas" w:eastAsia="Consolas"/>
          <w:sz w:val="18"/>
        </w:rPr>
        <w:t>CONFIRMED</w:t>
      </w:r>
      <w:r>
        <w:t xml:space="preserve"> sin pago. Lo dejamos visible con una prueba </w:t>
      </w:r>
      <w:r>
        <w:rPr>
          <w:rFonts w:ascii="Consolas" w:hAnsi="Consolas" w:eastAsia="Consolas"/>
          <w:sz w:val="18"/>
        </w:rPr>
        <w:t>xfail(strict=True)</w:t>
      </w:r>
      <w:r>
        <w:t xml:space="preserve"> que expresa el comportamiento deseable; si alguien corrige el código, la prueba pasará y </w:t>
      </w:r>
      <w:r>
        <w:rPr>
          <w:rFonts w:ascii="Consolas" w:hAnsi="Consolas" w:eastAsia="Consolas"/>
          <w:sz w:val="18"/>
        </w:rPr>
        <w:t>strict</w:t>
      </w:r>
      <w:r>
        <w:t xml:space="preserve"> obligará a quitar la marca. </w:t>
      </w:r>
      <w:r>
        <w:rPr>
          <w:b/>
        </w:rPr>
        <w:t>Propuesta (no implementada):</w:t>
      </w:r>
      <w:r>
        <w:t xml:space="preserve"> calcular el importe sin cambiar el estado, cobrar y confirmar solo si el cobro se aprueba, o usar un estado intermedio «pendiente de pago». No la aplicamos porque cambiaría el contrato del servicio que el laboratorio pide estudiar.</w:t>
      </w:r>
    </w:p>
    <w:p>
      <w:pPr>
        <w:keepNext/>
        <w:spacing w:before="120"/>
        <w:jc w:val="center"/>
      </w:pPr>
      <w:r>
        <w:drawing>
          <wp:inline xmlns:a="http://schemas.openxmlformats.org/drawingml/2006/main" xmlns:pic="http://schemas.openxmlformats.org/drawingml/2006/picture">
            <wp:extent cx="5580000" cy="2294315"/>
            <wp:docPr id="9" name="Picture 9"/>
            <wp:cNvGraphicFramePr>
              <a:graphicFrameLocks noChangeAspect="1"/>
            </wp:cNvGraphicFramePr>
            <a:graphic>
              <a:graphicData uri="http://schemas.openxmlformats.org/drawingml/2006/picture">
                <pic:pic>
                  <pic:nvPicPr>
                    <pic:cNvPr id="0" name="E5_01_pytest_service.png"/>
                    <pic:cNvPicPr/>
                  </pic:nvPicPr>
                  <pic:blipFill>
                    <a:blip r:embed="rId26"/>
                    <a:stretch>
                      <a:fillRect/>
                    </a:stretch>
                  </pic:blipFill>
                  <pic:spPr>
                    <a:xfrm>
                      <a:off x="0" y="0"/>
                      <a:ext cx="5580000" cy="2294315"/>
                    </a:xfrm>
                    <a:prstGeom prst="rect"/>
                  </pic:spPr>
                </pic:pic>
              </a:graphicData>
            </a:graphic>
          </wp:inline>
        </w:drawing>
      </w:r>
    </w:p>
    <w:p>
      <w:pPr>
        <w:spacing w:before="80" w:after="120" w:line="276" w:lineRule="auto"/>
        <w:jc w:val="center"/>
      </w:pPr>
      <w:r>
        <w:rPr>
          <w:b/>
          <w:sz w:val="19"/>
        </w:rPr>
        <w:t xml:space="preserve">Figura 9. </w:t>
      </w:r>
      <w:r>
        <w:rPr>
          <w:sz w:val="19"/>
        </w:rPr>
        <w:t>Pruebas con mock de la pasarela (E5): 7 aprobadas y el riesgo documentado como XFAIL.</w:t>
      </w:r>
    </w:p>
    <w:p>
      <w:pPr>
        <w:pStyle w:val="Ttulo2"/>
        <w:keepNext/>
      </w:pPr>
      <w:r>
        <w:t>1.7 Seguridad y autorización</w:t>
      </w:r>
    </w:p>
    <w:p>
      <w:pPr>
        <w:spacing w:before="0" w:after="120" w:line="276" w:lineRule="auto"/>
        <w:jc w:val="both"/>
      </w:pPr>
      <w:r>
        <w:t xml:space="preserve">Revisamos </w:t>
      </w:r>
      <w:r>
        <w:rPr>
          <w:rFonts w:ascii="Consolas" w:hAnsi="Consolas" w:eastAsia="Consolas"/>
          <w:sz w:val="18"/>
        </w:rPr>
        <w:t>can_cancel()</w:t>
      </w:r>
      <w:r>
        <w:t xml:space="preserve"> y probamos lo que implementa: </w:t>
      </w:r>
      <w:r>
        <w:rPr>
          <w:rFonts w:ascii="Consolas" w:hAnsi="Consolas" w:eastAsia="Consolas"/>
          <w:sz w:val="18"/>
        </w:rPr>
        <w:t>SHIPPED</w:t>
      </w:r>
      <w:r>
        <w:t xml:space="preserve"> nunca se cancela, ni por el administrador; en otro estado el administrador sí puede; el propietario no administrador solo antes de cumplir 24 horas (la comparación es </w:t>
      </w:r>
      <w:r>
        <w:rPr>
          <w:rFonts w:ascii="Consolas" w:hAnsi="Consolas" w:eastAsia="Consolas"/>
          <w:sz w:val="18"/>
        </w:rPr>
        <w:t>&lt;</w:t>
      </w:r>
      <w:r>
        <w:t xml:space="preserve">, así que a las 24 h exactas ya no). Todas las fechas son fijas y </w:t>
      </w:r>
      <w:r>
        <w:rPr>
          <w:rFonts w:ascii="Consolas" w:hAnsi="Consolas" w:eastAsia="Consolas"/>
          <w:sz w:val="18"/>
        </w:rPr>
        <w:t>now</w:t>
      </w:r>
      <w:r>
        <w:t xml:space="preserve"> se pasa explícitamente; para el valor por defecto de </w:t>
      </w:r>
      <w:r>
        <w:rPr>
          <w:rFonts w:ascii="Consolas" w:hAnsi="Consolas" w:eastAsia="Consolas"/>
          <w:sz w:val="18"/>
        </w:rPr>
        <w:t>now</w:t>
      </w:r>
      <w:r>
        <w:t xml:space="preserve"> se sustituye el reloj del módulo con </w:t>
      </w:r>
      <w:r>
        <w:rPr>
          <w:rFonts w:ascii="Consolas" w:hAnsi="Consolas" w:eastAsia="Consolas"/>
          <w:sz w:val="18"/>
        </w:rPr>
        <w:t>monkeypatch</w:t>
      </w:r>
      <w:r>
        <w:t>, así que ninguna prueba depende de la hora real. También cambiamos las cuatro pruebas originales para que usen fechas fijas.</w:t>
      </w:r>
    </w:p>
    <w:p>
      <w:pPr>
        <w:keepNext/>
        <w:spacing w:before="160" w:after="60" w:line="276" w:lineRule="auto"/>
        <w:jc w:val="center"/>
      </w:pPr>
      <w:r>
        <w:rPr>
          <w:b/>
          <w:sz w:val="19"/>
        </w:rPr>
        <w:t xml:space="preserve">Tabla 2. </w:t>
      </w:r>
      <w:r>
        <w:rPr>
          <w:sz w:val="19"/>
        </w:rPr>
        <w:t>Matriz de autorización (E6). Pedido creado el 01/10/2026 10:00 UTC por el usuario 1</w:t>
      </w:r>
    </w:p>
    <w:tbl>
      <w:tblPr>
        <w:tblStyle w:val="Tabladecuadrcula4-nfasis11"/>
        <w:tblW w:type="dxa" w:w="8958"/>
        <w:jc w:val="center"/>
        <w:tblLayout w:type="fixed"/>
        <w:tblLook w:firstColumn="1" w:firstRow="1" w:lastColumn="0" w:lastRow="0" w:noHBand="0" w:noVBand="1" w:val="04A0"/>
        <w:tblLayout w:type="fixed"/>
      </w:tblPr>
      <w:tblGrid>
        <w:gridCol w:w="907"/>
        <w:gridCol w:w="1474"/>
        <w:gridCol w:w="1134"/>
        <w:gridCol w:w="1360"/>
        <w:gridCol w:w="1474"/>
        <w:gridCol w:w="1304"/>
        <w:gridCol w:w="1304"/>
      </w:tblGrid>
      <w:tr>
        <w:trPr>
          <w:tblHeader w:val="true"/>
          <w:cantSplit w:val="true"/>
        </w:trPr>
        <w:tc>
          <w:tcPr>
            <w:tcW w:type="dxa" w:w="907"/>
          </w:tcPr>
          <w:p>
            <w:pPr>
              <w:keepNext/>
              <w:jc w:val="center"/>
            </w:pPr>
            <w:r/>
            <w:r>
              <w:rPr>
                <w:b/>
                <w:sz w:val="17"/>
              </w:rPr>
              <w:t>Caso</w:t>
            </w:r>
          </w:p>
        </w:tc>
        <w:tc>
          <w:tcPr>
            <w:tcW w:type="dxa" w:w="1474"/>
          </w:tcPr>
          <w:p>
            <w:pPr>
              <w:keepNext/>
              <w:jc w:val="center"/>
            </w:pPr>
            <w:r/>
            <w:r>
              <w:rPr>
                <w:b/>
                <w:sz w:val="17"/>
              </w:rPr>
              <w:t>Rol</w:t>
            </w:r>
          </w:p>
        </w:tc>
        <w:tc>
          <w:tcPr>
            <w:tcW w:type="dxa" w:w="1134"/>
          </w:tcPr>
          <w:p>
            <w:pPr>
              <w:keepNext/>
              <w:jc w:val="center"/>
            </w:pPr>
            <w:r/>
            <w:r>
              <w:rPr>
                <w:b/>
                <w:sz w:val="17"/>
              </w:rPr>
              <w:t>Propiedad</w:t>
            </w:r>
          </w:p>
        </w:tc>
        <w:tc>
          <w:tcPr>
            <w:tcW w:type="dxa" w:w="1361"/>
          </w:tcPr>
          <w:p>
            <w:pPr>
              <w:keepNext/>
              <w:jc w:val="center"/>
            </w:pPr>
            <w:r/>
            <w:r>
              <w:rPr>
                <w:b/>
                <w:sz w:val="17"/>
              </w:rPr>
              <w:t>Estado</w:t>
            </w:r>
          </w:p>
        </w:tc>
        <w:tc>
          <w:tcPr>
            <w:tcW w:type="dxa" w:w="1474"/>
          </w:tcPr>
          <w:p>
            <w:pPr>
              <w:keepNext/>
              <w:jc w:val="center"/>
            </w:pPr>
            <w:r/>
            <w:r>
              <w:rPr>
                <w:b/>
                <w:sz w:val="17"/>
              </w:rPr>
              <w:t>Antigüedad</w:t>
            </w:r>
          </w:p>
        </w:tc>
        <w:tc>
          <w:tcPr>
            <w:tcW w:type="dxa" w:w="1304"/>
          </w:tcPr>
          <w:p>
            <w:pPr>
              <w:keepNext/>
              <w:jc w:val="center"/>
            </w:pPr>
            <w:r/>
            <w:r>
              <w:rPr>
                <w:b/>
                <w:sz w:val="17"/>
              </w:rPr>
              <w:t>Esperado</w:t>
            </w:r>
          </w:p>
        </w:tc>
        <w:tc>
          <w:tcPr>
            <w:tcW w:type="dxa" w:w="1304"/>
          </w:tcPr>
          <w:p>
            <w:pPr>
              <w:keepNext/>
              <w:jc w:val="center"/>
            </w:pPr>
            <w:r/>
            <w:r>
              <w:rPr>
                <w:b/>
                <w:sz w:val="17"/>
              </w:rPr>
              <w:t>Real</w:t>
            </w:r>
          </w:p>
        </w:tc>
      </w:tr>
      <w:tr>
        <w:trPr>
          <w:cantSplit w:val="true"/>
        </w:trPr>
        <w:tc>
          <w:tcPr>
            <w:tcW w:type="dxa" w:w="907"/>
          </w:tcPr>
          <w:p>
            <w:pPr>
              <w:keepNext/>
              <w:spacing w:after="20"/>
            </w:pPr>
            <w:r/>
            <w:r>
              <w:rPr>
                <w:sz w:val="17"/>
              </w:rPr>
              <w:t>SEG-01</w:t>
            </w:r>
          </w:p>
        </w:tc>
        <w:tc>
          <w:tcPr>
            <w:tcW w:type="dxa" w:w="1474"/>
          </w:tcPr>
          <w:p>
            <w:pPr>
              <w:keepNext/>
              <w:spacing w:after="20"/>
            </w:pPr>
            <w:r/>
            <w:r>
              <w:rPr>
                <w:sz w:val="17"/>
              </w:rPr>
              <w:t>Administrador</w:t>
            </w:r>
          </w:p>
        </w:tc>
        <w:tc>
          <w:tcPr>
            <w:tcW w:type="dxa" w:w="1134"/>
          </w:tcPr>
          <w:p>
            <w:pPr>
              <w:keepNext/>
              <w:spacing w:after="20"/>
            </w:pPr>
            <w:r/>
            <w:r>
              <w:rPr>
                <w:sz w:val="17"/>
              </w:rPr>
              <w:t>Ajeno</w:t>
            </w:r>
          </w:p>
        </w:tc>
        <w:tc>
          <w:tcPr>
            <w:tcW w:type="dxa" w:w="1361"/>
          </w:tcPr>
          <w:p>
            <w:pPr>
              <w:keepNext/>
              <w:spacing w:after="20"/>
            </w:pPr>
            <w:r/>
            <w:r>
              <w:rPr>
                <w:sz w:val="17"/>
              </w:rPr>
              <w:t>NEW</w:t>
            </w:r>
          </w:p>
        </w:tc>
        <w:tc>
          <w:tcPr>
            <w:tcW w:type="dxa" w:w="1474"/>
          </w:tcPr>
          <w:p>
            <w:pPr>
              <w:keepNext/>
              <w:spacing w:after="20"/>
            </w:pPr>
            <w:r/>
            <w:r>
              <w:rPr>
                <w:sz w:val="17"/>
              </w:rPr>
              <w:t>30 días</w:t>
            </w:r>
          </w:p>
        </w:tc>
        <w:tc>
          <w:tcPr>
            <w:tcW w:type="dxa" w:w="1304"/>
          </w:tcPr>
          <w:p>
            <w:pPr>
              <w:keepNext/>
              <w:spacing w:after="20"/>
            </w:pPr>
            <w:r/>
            <w:r>
              <w:rPr>
                <w:sz w:val="17"/>
              </w:rPr>
              <w:t>Permitido</w:t>
            </w:r>
          </w:p>
        </w:tc>
        <w:tc>
          <w:tcPr>
            <w:tcW w:type="dxa" w:w="1304"/>
          </w:tcPr>
          <w:p>
            <w:pPr>
              <w:keepNext/>
              <w:spacing w:after="20"/>
            </w:pPr>
            <w:r/>
            <w:r>
              <w:rPr>
                <w:sz w:val="17"/>
              </w:rPr>
              <w:t>Permitido</w:t>
            </w:r>
          </w:p>
        </w:tc>
      </w:tr>
      <w:tr>
        <w:trPr>
          <w:cantSplit w:val="true"/>
        </w:trPr>
        <w:tc>
          <w:tcPr>
            <w:tcW w:type="dxa" w:w="907"/>
          </w:tcPr>
          <w:p>
            <w:pPr>
              <w:keepNext/>
              <w:spacing w:after="20"/>
            </w:pPr>
            <w:r/>
            <w:r>
              <w:rPr>
                <w:sz w:val="17"/>
              </w:rPr>
              <w:t>SEG-02</w:t>
            </w:r>
          </w:p>
        </w:tc>
        <w:tc>
          <w:tcPr>
            <w:tcW w:type="dxa" w:w="1474"/>
          </w:tcPr>
          <w:p>
            <w:pPr>
              <w:keepNext/>
              <w:spacing w:after="20"/>
            </w:pPr>
            <w:r/>
            <w:r>
              <w:rPr>
                <w:sz w:val="17"/>
              </w:rPr>
              <w:t>Administrador</w:t>
            </w:r>
          </w:p>
        </w:tc>
        <w:tc>
          <w:tcPr>
            <w:tcW w:type="dxa" w:w="1134"/>
          </w:tcPr>
          <w:p>
            <w:pPr>
              <w:keepNext/>
              <w:spacing w:after="20"/>
            </w:pPr>
            <w:r/>
            <w:r>
              <w:rPr>
                <w:sz w:val="17"/>
              </w:rPr>
              <w:t>Ajeno</w:t>
            </w:r>
          </w:p>
        </w:tc>
        <w:tc>
          <w:tcPr>
            <w:tcW w:type="dxa" w:w="1361"/>
          </w:tcPr>
          <w:p>
            <w:pPr>
              <w:keepNext/>
              <w:spacing w:after="20"/>
            </w:pPr>
            <w:r/>
            <w:r>
              <w:rPr>
                <w:sz w:val="17"/>
              </w:rPr>
              <w:t>CONFIRMED</w:t>
            </w:r>
          </w:p>
        </w:tc>
        <w:tc>
          <w:tcPr>
            <w:tcW w:type="dxa" w:w="1474"/>
          </w:tcPr>
          <w:p>
            <w:pPr>
              <w:keepNext/>
              <w:spacing w:after="20"/>
            </w:pPr>
            <w:r/>
            <w:r>
              <w:rPr>
                <w:sz w:val="17"/>
              </w:rPr>
              <w:t>1 h</w:t>
            </w:r>
          </w:p>
        </w:tc>
        <w:tc>
          <w:tcPr>
            <w:tcW w:type="dxa" w:w="1304"/>
          </w:tcPr>
          <w:p>
            <w:pPr>
              <w:keepNext/>
              <w:spacing w:after="20"/>
            </w:pPr>
            <w:r/>
            <w:r>
              <w:rPr>
                <w:sz w:val="17"/>
              </w:rPr>
              <w:t>Permitido</w:t>
            </w:r>
          </w:p>
        </w:tc>
        <w:tc>
          <w:tcPr>
            <w:tcW w:type="dxa" w:w="1304"/>
          </w:tcPr>
          <w:p>
            <w:pPr>
              <w:keepNext/>
              <w:spacing w:after="20"/>
            </w:pPr>
            <w:r/>
            <w:r>
              <w:rPr>
                <w:sz w:val="17"/>
              </w:rPr>
              <w:t>Permitido</w:t>
            </w:r>
          </w:p>
        </w:tc>
      </w:tr>
      <w:tr>
        <w:trPr>
          <w:cantSplit w:val="true"/>
        </w:trPr>
        <w:tc>
          <w:tcPr>
            <w:tcW w:type="dxa" w:w="907"/>
          </w:tcPr>
          <w:p>
            <w:pPr>
              <w:keepNext/>
              <w:spacing w:after="20"/>
            </w:pPr>
            <w:r/>
            <w:r>
              <w:rPr>
                <w:sz w:val="17"/>
              </w:rPr>
              <w:t>SEG-03</w:t>
            </w:r>
          </w:p>
        </w:tc>
        <w:tc>
          <w:tcPr>
            <w:tcW w:type="dxa" w:w="1474"/>
          </w:tcPr>
          <w:p>
            <w:pPr>
              <w:keepNext/>
              <w:spacing w:after="20"/>
            </w:pPr>
            <w:r/>
            <w:r>
              <w:rPr>
                <w:sz w:val="17"/>
              </w:rPr>
              <w:t>Administrador</w:t>
            </w:r>
          </w:p>
        </w:tc>
        <w:tc>
          <w:tcPr>
            <w:tcW w:type="dxa" w:w="1134"/>
          </w:tcPr>
          <w:p>
            <w:pPr>
              <w:keepNext/>
              <w:spacing w:after="20"/>
            </w:pPr>
            <w:r/>
            <w:r>
              <w:rPr>
                <w:sz w:val="17"/>
              </w:rPr>
              <w:t>Ajeno</w:t>
            </w:r>
          </w:p>
        </w:tc>
        <w:tc>
          <w:tcPr>
            <w:tcW w:type="dxa" w:w="1361"/>
          </w:tcPr>
          <w:p>
            <w:pPr>
              <w:keepNext/>
              <w:spacing w:after="20"/>
            </w:pPr>
            <w:r/>
            <w:r>
              <w:rPr>
                <w:sz w:val="17"/>
              </w:rPr>
              <w:t>SHIPPED</w:t>
            </w:r>
          </w:p>
        </w:tc>
        <w:tc>
          <w:tcPr>
            <w:tcW w:type="dxa" w:w="1474"/>
          </w:tcPr>
          <w:p>
            <w:pPr>
              <w:keepNext/>
              <w:spacing w:after="20"/>
            </w:pPr>
            <w:r/>
            <w:r>
              <w:rPr>
                <w:sz w:val="17"/>
              </w:rPr>
              <w:t>1 h</w:t>
            </w:r>
          </w:p>
        </w:tc>
        <w:tc>
          <w:tcPr>
            <w:tcW w:type="dxa" w:w="1304"/>
          </w:tcPr>
          <w:p>
            <w:pPr>
              <w:keepNext/>
              <w:spacing w:after="20"/>
            </w:pPr>
            <w:r/>
            <w:r>
              <w:rPr>
                <w:sz w:val="17"/>
              </w:rPr>
              <w:t>Denegado</w:t>
            </w:r>
          </w:p>
        </w:tc>
        <w:tc>
          <w:tcPr>
            <w:tcW w:type="dxa" w:w="1304"/>
          </w:tcPr>
          <w:p>
            <w:pPr>
              <w:keepNext/>
              <w:spacing w:after="20"/>
            </w:pPr>
            <w:r/>
            <w:r>
              <w:rPr>
                <w:sz w:val="17"/>
              </w:rPr>
              <w:t>Denegado</w:t>
            </w:r>
          </w:p>
        </w:tc>
      </w:tr>
      <w:tr>
        <w:trPr>
          <w:cantSplit w:val="true"/>
        </w:trPr>
        <w:tc>
          <w:tcPr>
            <w:tcW w:type="dxa" w:w="907"/>
          </w:tcPr>
          <w:p>
            <w:pPr>
              <w:keepNext/>
              <w:spacing w:after="20"/>
            </w:pPr>
            <w:r/>
            <w:r>
              <w:rPr>
                <w:sz w:val="17"/>
              </w:rPr>
              <w:t>SEG-04</w:t>
            </w:r>
          </w:p>
        </w:tc>
        <w:tc>
          <w:tcPr>
            <w:tcW w:type="dxa" w:w="1474"/>
          </w:tcPr>
          <w:p>
            <w:pPr>
              <w:keepNext/>
              <w:spacing w:after="20"/>
            </w:pPr>
            <w:r/>
            <w:r>
              <w:rPr>
                <w:sz w:val="17"/>
              </w:rPr>
              <w:t>Propietario</w:t>
            </w:r>
          </w:p>
        </w:tc>
        <w:tc>
          <w:tcPr>
            <w:tcW w:type="dxa" w:w="1134"/>
          </w:tcPr>
          <w:p>
            <w:pPr>
              <w:keepNext/>
              <w:spacing w:after="20"/>
            </w:pPr>
            <w:r/>
            <w:r>
              <w:rPr>
                <w:sz w:val="17"/>
              </w:rPr>
              <w:t>Propio</w:t>
            </w:r>
          </w:p>
        </w:tc>
        <w:tc>
          <w:tcPr>
            <w:tcW w:type="dxa" w:w="1361"/>
          </w:tcPr>
          <w:p>
            <w:pPr>
              <w:keepNext/>
              <w:spacing w:after="20"/>
            </w:pPr>
            <w:r/>
            <w:r>
              <w:rPr>
                <w:sz w:val="17"/>
              </w:rPr>
              <w:t>NEW</w:t>
            </w:r>
          </w:p>
        </w:tc>
        <w:tc>
          <w:tcPr>
            <w:tcW w:type="dxa" w:w="1474"/>
          </w:tcPr>
          <w:p>
            <w:pPr>
              <w:keepNext/>
              <w:spacing w:after="20"/>
            </w:pPr>
            <w:r/>
            <w:r>
              <w:rPr>
                <w:sz w:val="17"/>
              </w:rPr>
              <w:t>1 h</w:t>
            </w:r>
          </w:p>
        </w:tc>
        <w:tc>
          <w:tcPr>
            <w:tcW w:type="dxa" w:w="1304"/>
          </w:tcPr>
          <w:p>
            <w:pPr>
              <w:keepNext/>
              <w:spacing w:after="20"/>
            </w:pPr>
            <w:r/>
            <w:r>
              <w:rPr>
                <w:sz w:val="17"/>
              </w:rPr>
              <w:t>Permitido</w:t>
            </w:r>
          </w:p>
        </w:tc>
        <w:tc>
          <w:tcPr>
            <w:tcW w:type="dxa" w:w="1304"/>
          </w:tcPr>
          <w:p>
            <w:pPr>
              <w:keepNext/>
              <w:spacing w:after="20"/>
            </w:pPr>
            <w:r/>
            <w:r>
              <w:rPr>
                <w:sz w:val="17"/>
              </w:rPr>
              <w:t>Permitido</w:t>
            </w:r>
          </w:p>
        </w:tc>
      </w:tr>
      <w:tr>
        <w:trPr>
          <w:cantSplit w:val="true"/>
        </w:trPr>
        <w:tc>
          <w:tcPr>
            <w:tcW w:type="dxa" w:w="907"/>
          </w:tcPr>
          <w:p>
            <w:pPr>
              <w:keepNext/>
              <w:spacing w:after="20"/>
            </w:pPr>
            <w:r/>
            <w:r>
              <w:rPr>
                <w:sz w:val="17"/>
              </w:rPr>
              <w:t>SEG-05</w:t>
            </w:r>
          </w:p>
        </w:tc>
        <w:tc>
          <w:tcPr>
            <w:tcW w:type="dxa" w:w="1474"/>
          </w:tcPr>
          <w:p>
            <w:pPr>
              <w:keepNext/>
              <w:spacing w:after="20"/>
            </w:pPr>
            <w:r/>
            <w:r>
              <w:rPr>
                <w:sz w:val="17"/>
              </w:rPr>
              <w:t>Propietario</w:t>
            </w:r>
          </w:p>
        </w:tc>
        <w:tc>
          <w:tcPr>
            <w:tcW w:type="dxa" w:w="1134"/>
          </w:tcPr>
          <w:p>
            <w:pPr>
              <w:keepNext/>
              <w:spacing w:after="20"/>
            </w:pPr>
            <w:r/>
            <w:r>
              <w:rPr>
                <w:sz w:val="17"/>
              </w:rPr>
              <w:t>Propio</w:t>
            </w:r>
          </w:p>
        </w:tc>
        <w:tc>
          <w:tcPr>
            <w:tcW w:type="dxa" w:w="1361"/>
          </w:tcPr>
          <w:p>
            <w:pPr>
              <w:keepNext/>
              <w:spacing w:after="20"/>
            </w:pPr>
            <w:r/>
            <w:r>
              <w:rPr>
                <w:sz w:val="17"/>
              </w:rPr>
              <w:t>CONFIRMED</w:t>
            </w:r>
          </w:p>
        </w:tc>
        <w:tc>
          <w:tcPr>
            <w:tcW w:type="dxa" w:w="1474"/>
          </w:tcPr>
          <w:p>
            <w:pPr>
              <w:keepNext/>
              <w:spacing w:after="20"/>
            </w:pPr>
            <w:r/>
            <w:r>
              <w:rPr>
                <w:sz w:val="17"/>
              </w:rPr>
              <w:t>23:59:59</w:t>
            </w:r>
          </w:p>
        </w:tc>
        <w:tc>
          <w:tcPr>
            <w:tcW w:type="dxa" w:w="1304"/>
          </w:tcPr>
          <w:p>
            <w:pPr>
              <w:keepNext/>
              <w:spacing w:after="20"/>
            </w:pPr>
            <w:r/>
            <w:r>
              <w:rPr>
                <w:sz w:val="17"/>
              </w:rPr>
              <w:t>Permitido</w:t>
            </w:r>
          </w:p>
        </w:tc>
        <w:tc>
          <w:tcPr>
            <w:tcW w:type="dxa" w:w="1304"/>
          </w:tcPr>
          <w:p>
            <w:pPr>
              <w:keepNext/>
              <w:spacing w:after="20"/>
            </w:pPr>
            <w:r/>
            <w:r>
              <w:rPr>
                <w:sz w:val="17"/>
              </w:rPr>
              <w:t>Permitido</w:t>
            </w:r>
          </w:p>
        </w:tc>
      </w:tr>
      <w:tr>
        <w:trPr>
          <w:cantSplit w:val="true"/>
        </w:trPr>
        <w:tc>
          <w:tcPr>
            <w:tcW w:type="dxa" w:w="907"/>
          </w:tcPr>
          <w:p>
            <w:pPr>
              <w:keepNext/>
              <w:spacing w:after="20"/>
            </w:pPr>
            <w:r/>
            <w:r>
              <w:rPr>
                <w:sz w:val="17"/>
              </w:rPr>
              <w:t>SEG-06</w:t>
            </w:r>
          </w:p>
        </w:tc>
        <w:tc>
          <w:tcPr>
            <w:tcW w:type="dxa" w:w="1474"/>
          </w:tcPr>
          <w:p>
            <w:pPr>
              <w:keepNext/>
              <w:spacing w:after="20"/>
            </w:pPr>
            <w:r/>
            <w:r>
              <w:rPr>
                <w:sz w:val="17"/>
              </w:rPr>
              <w:t>Propietario</w:t>
            </w:r>
          </w:p>
        </w:tc>
        <w:tc>
          <w:tcPr>
            <w:tcW w:type="dxa" w:w="1134"/>
          </w:tcPr>
          <w:p>
            <w:pPr>
              <w:keepNext/>
              <w:spacing w:after="20"/>
            </w:pPr>
            <w:r/>
            <w:r>
              <w:rPr>
                <w:sz w:val="17"/>
              </w:rPr>
              <w:t>Propio</w:t>
            </w:r>
          </w:p>
        </w:tc>
        <w:tc>
          <w:tcPr>
            <w:tcW w:type="dxa" w:w="1361"/>
          </w:tcPr>
          <w:p>
            <w:pPr>
              <w:keepNext/>
              <w:spacing w:after="20"/>
            </w:pPr>
            <w:r/>
            <w:r>
              <w:rPr>
                <w:sz w:val="17"/>
              </w:rPr>
              <w:t>NEW</w:t>
            </w:r>
          </w:p>
        </w:tc>
        <w:tc>
          <w:tcPr>
            <w:tcW w:type="dxa" w:w="1474"/>
          </w:tcPr>
          <w:p>
            <w:pPr>
              <w:keepNext/>
              <w:spacing w:after="20"/>
            </w:pPr>
            <w:r/>
            <w:r>
              <w:rPr>
                <w:sz w:val="17"/>
              </w:rPr>
              <w:t>24 h exactas</w:t>
            </w:r>
          </w:p>
        </w:tc>
        <w:tc>
          <w:tcPr>
            <w:tcW w:type="dxa" w:w="1304"/>
          </w:tcPr>
          <w:p>
            <w:pPr>
              <w:keepNext/>
              <w:spacing w:after="20"/>
            </w:pPr>
            <w:r/>
            <w:r>
              <w:rPr>
                <w:sz w:val="17"/>
              </w:rPr>
              <w:t>Denegado</w:t>
            </w:r>
          </w:p>
        </w:tc>
        <w:tc>
          <w:tcPr>
            <w:tcW w:type="dxa" w:w="1304"/>
          </w:tcPr>
          <w:p>
            <w:pPr>
              <w:keepNext/>
              <w:spacing w:after="20"/>
            </w:pPr>
            <w:r/>
            <w:r>
              <w:rPr>
                <w:sz w:val="17"/>
              </w:rPr>
              <w:t>Denegado</w:t>
            </w:r>
          </w:p>
        </w:tc>
      </w:tr>
      <w:tr>
        <w:trPr>
          <w:cantSplit w:val="true"/>
        </w:trPr>
        <w:tc>
          <w:tcPr>
            <w:tcW w:type="dxa" w:w="907"/>
          </w:tcPr>
          <w:p>
            <w:pPr>
              <w:keepNext/>
              <w:spacing w:after="20"/>
            </w:pPr>
            <w:r/>
            <w:r>
              <w:rPr>
                <w:sz w:val="17"/>
              </w:rPr>
              <w:t>SEG-07</w:t>
            </w:r>
          </w:p>
        </w:tc>
        <w:tc>
          <w:tcPr>
            <w:tcW w:type="dxa" w:w="1474"/>
          </w:tcPr>
          <w:p>
            <w:pPr>
              <w:keepNext/>
              <w:spacing w:after="20"/>
            </w:pPr>
            <w:r/>
            <w:r>
              <w:rPr>
                <w:sz w:val="17"/>
              </w:rPr>
              <w:t>Propietario</w:t>
            </w:r>
          </w:p>
        </w:tc>
        <w:tc>
          <w:tcPr>
            <w:tcW w:type="dxa" w:w="1134"/>
          </w:tcPr>
          <w:p>
            <w:pPr>
              <w:keepNext/>
              <w:spacing w:after="20"/>
            </w:pPr>
            <w:r/>
            <w:r>
              <w:rPr>
                <w:sz w:val="17"/>
              </w:rPr>
              <w:t>Propio</w:t>
            </w:r>
          </w:p>
        </w:tc>
        <w:tc>
          <w:tcPr>
            <w:tcW w:type="dxa" w:w="1361"/>
          </w:tcPr>
          <w:p>
            <w:pPr>
              <w:keepNext/>
              <w:spacing w:after="20"/>
            </w:pPr>
            <w:r/>
            <w:r>
              <w:rPr>
                <w:sz w:val="17"/>
              </w:rPr>
              <w:t>NEW</w:t>
            </w:r>
          </w:p>
        </w:tc>
        <w:tc>
          <w:tcPr>
            <w:tcW w:type="dxa" w:w="1474"/>
          </w:tcPr>
          <w:p>
            <w:pPr>
              <w:keepNext/>
              <w:spacing w:after="20"/>
            </w:pPr>
            <w:r/>
            <w:r>
              <w:rPr>
                <w:sz w:val="17"/>
              </w:rPr>
              <w:t>25 h</w:t>
            </w:r>
          </w:p>
        </w:tc>
        <w:tc>
          <w:tcPr>
            <w:tcW w:type="dxa" w:w="1304"/>
          </w:tcPr>
          <w:p>
            <w:pPr>
              <w:keepNext/>
              <w:spacing w:after="20"/>
            </w:pPr>
            <w:r/>
            <w:r>
              <w:rPr>
                <w:sz w:val="17"/>
              </w:rPr>
              <w:t>Denegado</w:t>
            </w:r>
          </w:p>
        </w:tc>
        <w:tc>
          <w:tcPr>
            <w:tcW w:type="dxa" w:w="1304"/>
          </w:tcPr>
          <w:p>
            <w:pPr>
              <w:keepNext/>
              <w:spacing w:after="20"/>
            </w:pPr>
            <w:r/>
            <w:r>
              <w:rPr>
                <w:sz w:val="17"/>
              </w:rPr>
              <w:t>Denegado</w:t>
            </w:r>
          </w:p>
        </w:tc>
      </w:tr>
      <w:tr>
        <w:trPr>
          <w:cantSplit w:val="true"/>
        </w:trPr>
        <w:tc>
          <w:tcPr>
            <w:tcW w:type="dxa" w:w="907"/>
          </w:tcPr>
          <w:p>
            <w:pPr>
              <w:keepNext/>
              <w:spacing w:after="20"/>
            </w:pPr>
            <w:r/>
            <w:r>
              <w:rPr>
                <w:sz w:val="17"/>
              </w:rPr>
              <w:t>SEG-08</w:t>
            </w:r>
          </w:p>
        </w:tc>
        <w:tc>
          <w:tcPr>
            <w:tcW w:type="dxa" w:w="1474"/>
          </w:tcPr>
          <w:p>
            <w:pPr>
              <w:keepNext/>
              <w:spacing w:after="20"/>
            </w:pPr>
            <w:r/>
            <w:r>
              <w:rPr>
                <w:sz w:val="17"/>
              </w:rPr>
              <w:t>Propietario</w:t>
            </w:r>
          </w:p>
        </w:tc>
        <w:tc>
          <w:tcPr>
            <w:tcW w:type="dxa" w:w="1134"/>
          </w:tcPr>
          <w:p>
            <w:pPr>
              <w:keepNext/>
              <w:spacing w:after="20"/>
            </w:pPr>
            <w:r/>
            <w:r>
              <w:rPr>
                <w:sz w:val="17"/>
              </w:rPr>
              <w:t>Propio</w:t>
            </w:r>
          </w:p>
        </w:tc>
        <w:tc>
          <w:tcPr>
            <w:tcW w:type="dxa" w:w="1361"/>
          </w:tcPr>
          <w:p>
            <w:pPr>
              <w:keepNext/>
              <w:spacing w:after="20"/>
            </w:pPr>
            <w:r/>
            <w:r>
              <w:rPr>
                <w:sz w:val="17"/>
              </w:rPr>
              <w:t>SHIPPED</w:t>
            </w:r>
          </w:p>
        </w:tc>
        <w:tc>
          <w:tcPr>
            <w:tcW w:type="dxa" w:w="1474"/>
          </w:tcPr>
          <w:p>
            <w:pPr>
              <w:keepNext/>
              <w:spacing w:after="20"/>
            </w:pPr>
            <w:r/>
            <w:r>
              <w:rPr>
                <w:sz w:val="17"/>
              </w:rPr>
              <w:t>5 min</w:t>
            </w:r>
          </w:p>
        </w:tc>
        <w:tc>
          <w:tcPr>
            <w:tcW w:type="dxa" w:w="1304"/>
          </w:tcPr>
          <w:p>
            <w:pPr>
              <w:keepNext/>
              <w:spacing w:after="20"/>
            </w:pPr>
            <w:r/>
            <w:r>
              <w:rPr>
                <w:sz w:val="17"/>
              </w:rPr>
              <w:t>Denegado</w:t>
            </w:r>
          </w:p>
        </w:tc>
        <w:tc>
          <w:tcPr>
            <w:tcW w:type="dxa" w:w="1304"/>
          </w:tcPr>
          <w:p>
            <w:pPr>
              <w:keepNext/>
              <w:spacing w:after="20"/>
            </w:pPr>
            <w:r/>
            <w:r>
              <w:rPr>
                <w:sz w:val="17"/>
              </w:rPr>
              <w:t>Denegado</w:t>
            </w:r>
          </w:p>
        </w:tc>
      </w:tr>
      <w:tr>
        <w:trPr>
          <w:cantSplit w:val="true"/>
        </w:trPr>
        <w:tc>
          <w:tcPr>
            <w:tcW w:type="dxa" w:w="907"/>
          </w:tcPr>
          <w:p>
            <w:pPr>
              <w:keepNext/>
              <w:spacing w:after="20"/>
            </w:pPr>
            <w:r/>
            <w:r>
              <w:rPr>
                <w:sz w:val="17"/>
              </w:rPr>
              <w:t>SEG-09</w:t>
            </w:r>
          </w:p>
        </w:tc>
        <w:tc>
          <w:tcPr>
            <w:tcW w:type="dxa" w:w="1474"/>
          </w:tcPr>
          <w:p>
            <w:pPr>
              <w:keepNext/>
              <w:spacing w:after="20"/>
            </w:pPr>
            <w:r/>
            <w:r>
              <w:rPr>
                <w:sz w:val="17"/>
              </w:rPr>
              <w:t>Tercero</w:t>
            </w:r>
          </w:p>
        </w:tc>
        <w:tc>
          <w:tcPr>
            <w:tcW w:type="dxa" w:w="1134"/>
          </w:tcPr>
          <w:p>
            <w:pPr>
              <w:keepNext/>
              <w:spacing w:after="20"/>
            </w:pPr>
            <w:r/>
            <w:r>
              <w:rPr>
                <w:sz w:val="17"/>
              </w:rPr>
              <w:t>Ajeno</w:t>
            </w:r>
          </w:p>
        </w:tc>
        <w:tc>
          <w:tcPr>
            <w:tcW w:type="dxa" w:w="1361"/>
          </w:tcPr>
          <w:p>
            <w:pPr>
              <w:keepNext/>
              <w:spacing w:after="20"/>
            </w:pPr>
            <w:r/>
            <w:r>
              <w:rPr>
                <w:sz w:val="17"/>
              </w:rPr>
              <w:t>NEW</w:t>
            </w:r>
          </w:p>
        </w:tc>
        <w:tc>
          <w:tcPr>
            <w:tcW w:type="dxa" w:w="1474"/>
          </w:tcPr>
          <w:p>
            <w:pPr>
              <w:keepNext/>
              <w:spacing w:after="20"/>
            </w:pPr>
            <w:r/>
            <w:r>
              <w:rPr>
                <w:sz w:val="17"/>
              </w:rPr>
              <w:t>5 min</w:t>
            </w:r>
          </w:p>
        </w:tc>
        <w:tc>
          <w:tcPr>
            <w:tcW w:type="dxa" w:w="1304"/>
          </w:tcPr>
          <w:p>
            <w:pPr>
              <w:keepNext/>
              <w:spacing w:after="20"/>
            </w:pPr>
            <w:r/>
            <w:r>
              <w:rPr>
                <w:sz w:val="17"/>
              </w:rPr>
              <w:t>Denegado</w:t>
            </w:r>
          </w:p>
        </w:tc>
        <w:tc>
          <w:tcPr>
            <w:tcW w:type="dxa" w:w="1304"/>
          </w:tcPr>
          <w:p>
            <w:pPr>
              <w:keepNext/>
              <w:spacing w:after="20"/>
            </w:pPr>
            <w:r/>
            <w:r>
              <w:rPr>
                <w:sz w:val="17"/>
              </w:rPr>
              <w:t>Denegado</w:t>
            </w:r>
          </w:p>
        </w:tc>
      </w:tr>
      <w:tr>
        <w:trPr>
          <w:cantSplit w:val="true"/>
        </w:trPr>
        <w:tc>
          <w:tcPr>
            <w:tcW w:type="dxa" w:w="907"/>
          </w:tcPr>
          <w:p>
            <w:pPr>
              <w:spacing w:after="20"/>
            </w:pPr>
            <w:r/>
            <w:r>
              <w:rPr>
                <w:sz w:val="17"/>
              </w:rPr>
              <w:t>SEG-10</w:t>
            </w:r>
          </w:p>
        </w:tc>
        <w:tc>
          <w:tcPr>
            <w:tcW w:type="dxa" w:w="1474"/>
          </w:tcPr>
          <w:p>
            <w:pPr>
              <w:spacing w:after="20"/>
            </w:pPr>
            <w:r/>
            <w:r>
              <w:rPr>
                <w:sz w:val="17"/>
              </w:rPr>
              <w:t>Tercero</w:t>
            </w:r>
          </w:p>
        </w:tc>
        <w:tc>
          <w:tcPr>
            <w:tcW w:type="dxa" w:w="1134"/>
          </w:tcPr>
          <w:p>
            <w:pPr>
              <w:spacing w:after="20"/>
            </w:pPr>
            <w:r/>
            <w:r>
              <w:rPr>
                <w:sz w:val="17"/>
              </w:rPr>
              <w:t>Ajeno</w:t>
            </w:r>
          </w:p>
        </w:tc>
        <w:tc>
          <w:tcPr>
            <w:tcW w:type="dxa" w:w="1361"/>
          </w:tcPr>
          <w:p>
            <w:pPr>
              <w:spacing w:after="20"/>
            </w:pPr>
            <w:r/>
            <w:r>
              <w:rPr>
                <w:sz w:val="17"/>
              </w:rPr>
              <w:t>CONFIRMED</w:t>
            </w:r>
          </w:p>
        </w:tc>
        <w:tc>
          <w:tcPr>
            <w:tcW w:type="dxa" w:w="1474"/>
          </w:tcPr>
          <w:p>
            <w:pPr>
              <w:spacing w:after="20"/>
            </w:pPr>
            <w:r/>
            <w:r>
              <w:rPr>
                <w:sz w:val="17"/>
              </w:rPr>
              <w:t>30 h</w:t>
            </w:r>
          </w:p>
        </w:tc>
        <w:tc>
          <w:tcPr>
            <w:tcW w:type="dxa" w:w="1304"/>
          </w:tcPr>
          <w:p>
            <w:pPr>
              <w:spacing w:after="20"/>
            </w:pPr>
            <w:r/>
            <w:r>
              <w:rPr>
                <w:sz w:val="17"/>
              </w:rPr>
              <w:t>Denegado</w:t>
            </w:r>
          </w:p>
        </w:tc>
        <w:tc>
          <w:tcPr>
            <w:tcW w:type="dxa" w:w="1304"/>
          </w:tcPr>
          <w:p>
            <w:pPr>
              <w:spacing w:after="20"/>
            </w:pPr>
            <w:r/>
            <w:r>
              <w:rPr>
                <w:sz w:val="17"/>
              </w:rPr>
              <w:t>Denegado</w:t>
            </w:r>
          </w:p>
        </w:tc>
      </w:tr>
    </w:tbl>
    <w:p>
      <w:pPr>
        <w:spacing w:before="0" w:after="40" w:line="276" w:lineRule="auto"/>
        <w:jc w:val="both"/>
      </w:pPr>
    </w:p>
    <w:p>
      <w:pPr>
        <w:spacing w:before="0" w:after="120" w:line="276" w:lineRule="auto"/>
        <w:jc w:val="both"/>
      </w:pPr>
      <w:r>
        <w:t xml:space="preserve">La columna «Real» corresponde a la ejecución de </w:t>
      </w:r>
      <w:r>
        <w:rPr>
          <w:rFonts w:ascii="Consolas" w:hAnsi="Consolas" w:eastAsia="Consolas"/>
          <w:sz w:val="18"/>
        </w:rPr>
        <w:t>test_matriz_autorizacion</w:t>
      </w:r>
      <w:r>
        <w:t>, donde las diez combinaciones pasaron (Figura 10).</w:t>
      </w:r>
    </w:p>
    <w:p>
      <w:pPr>
        <w:keepNext/>
        <w:spacing w:before="120"/>
        <w:jc w:val="center"/>
      </w:pPr>
      <w:r>
        <w:drawing>
          <wp:inline xmlns:a="http://schemas.openxmlformats.org/drawingml/2006/main" xmlns:pic="http://schemas.openxmlformats.org/drawingml/2006/picture">
            <wp:extent cx="5580000" cy="3055939"/>
            <wp:docPr id="10" name="Picture 10"/>
            <wp:cNvGraphicFramePr>
              <a:graphicFrameLocks noChangeAspect="1"/>
            </wp:cNvGraphicFramePr>
            <a:graphic>
              <a:graphicData uri="http://schemas.openxmlformats.org/drawingml/2006/picture">
                <pic:pic>
                  <pic:nvPicPr>
                    <pic:cNvPr id="0" name="E6_01_pytest_security.png"/>
                    <pic:cNvPicPr/>
                  </pic:nvPicPr>
                  <pic:blipFill>
                    <a:blip r:embed="rId27"/>
                    <a:stretch>
                      <a:fillRect/>
                    </a:stretch>
                  </pic:blipFill>
                  <pic:spPr>
                    <a:xfrm>
                      <a:off x="0" y="0"/>
                      <a:ext cx="5580000" cy="3055939"/>
                    </a:xfrm>
                    <a:prstGeom prst="rect"/>
                  </pic:spPr>
                </pic:pic>
              </a:graphicData>
            </a:graphic>
          </wp:inline>
        </w:drawing>
      </w:r>
    </w:p>
    <w:p>
      <w:pPr>
        <w:spacing w:before="80" w:after="120" w:line="276" w:lineRule="auto"/>
        <w:jc w:val="center"/>
      </w:pPr>
      <w:r>
        <w:rPr>
          <w:b/>
          <w:sz w:val="19"/>
        </w:rPr>
        <w:t xml:space="preserve">Figura 10. </w:t>
      </w:r>
      <w:r>
        <w:rPr>
          <w:sz w:val="19"/>
        </w:rPr>
        <w:t>Pruebas de autorización (E6): 20 aprobadas.</w:t>
      </w:r>
    </w:p>
    <w:p>
      <w:pPr>
        <w:pStyle w:val="Ttulo2"/>
        <w:keepNext/>
      </w:pPr>
      <w:r>
        <w:t>1.8 Cobertura y Ruff</w:t>
      </w:r>
    </w:p>
    <w:p>
      <w:pPr>
        <w:spacing w:before="0" w:after="120" w:line="276" w:lineRule="auto"/>
        <w:jc w:val="both"/>
      </w:pPr>
      <w:r>
        <w:t xml:space="preserve">Ruff no reporta errores en </w:t>
      </w:r>
      <w:r>
        <w:rPr>
          <w:rFonts w:ascii="Consolas" w:hAnsi="Consolas" w:eastAsia="Consolas"/>
          <w:sz w:val="18"/>
        </w:rPr>
        <w:t>src</w:t>
      </w:r>
      <w:r>
        <w:t xml:space="preserve"> ni en </w:t>
      </w:r>
      <w:r>
        <w:rPr>
          <w:rFonts w:ascii="Consolas" w:hAnsi="Consolas" w:eastAsia="Consolas"/>
          <w:sz w:val="18"/>
        </w:rPr>
        <w:t>tests</w:t>
      </w:r>
      <w:r>
        <w:t xml:space="preserve">. La ejecución final (28/10/2026) con </w:t>
      </w:r>
      <w:r>
        <w:rPr>
          <w:rFonts w:ascii="Consolas" w:hAnsi="Consolas" w:eastAsia="Consolas"/>
          <w:sz w:val="18"/>
        </w:rPr>
        <w:t>--cov-fail-under=80</w:t>
      </w:r>
      <w:r>
        <w:t xml:space="preserve"> terminó con 69 pruebas aprobadas, 1 xfail y </w:t>
      </w:r>
      <w:r>
        <w:rPr>
          <w:b/>
        </w:rPr>
        <w:t>100 % de cobertura de líneas</w:t>
      </w:r>
      <w:r>
        <w:t xml:space="preserve"> en </w:t>
      </w:r>
      <w:r>
        <w:rPr>
          <w:rFonts w:ascii="Consolas" w:hAnsi="Consolas" w:eastAsia="Consolas"/>
          <w:sz w:val="18"/>
        </w:rPr>
        <w:t>src/</w:t>
      </w:r>
      <w:r>
        <w:t xml:space="preserve">; con </w:t>
      </w:r>
      <w:r>
        <w:rPr>
          <w:rFonts w:ascii="Consolas" w:hAnsi="Consolas" w:eastAsia="Consolas"/>
          <w:sz w:val="18"/>
        </w:rPr>
        <w:t>--cov-branch</w:t>
      </w:r>
      <w:r>
        <w:t xml:space="preserve"> las 12 ramas también quedan cubiertas. No se excluyó ningún archivo. Los módulos de dominio y aplicación se ven por separado en la Tabla 3.</w:t>
      </w:r>
    </w:p>
    <w:p>
      <w:pPr>
        <w:keepNext/>
        <w:spacing w:before="160" w:after="60" w:line="276" w:lineRule="auto"/>
        <w:jc w:val="center"/>
      </w:pPr>
      <w:r>
        <w:rPr>
          <w:b/>
          <w:sz w:val="19"/>
        </w:rPr>
        <w:t xml:space="preserve">Tabla 3. </w:t>
      </w:r>
      <w:r>
        <w:rPr>
          <w:sz w:val="19"/>
        </w:rPr>
        <w:t>Cobertura de la ejecución final del laboratorio (E7)</w:t>
      </w:r>
    </w:p>
    <w:tbl>
      <w:tblPr>
        <w:tblStyle w:val="Tabladecuadrcula4-nfasis11"/>
        <w:tblW w:type="dxa" w:w="8958"/>
        <w:jc w:val="center"/>
        <w:tblLayout w:type="fixed"/>
        <w:tblLook w:firstColumn="1" w:firstRow="1" w:lastColumn="0" w:lastRow="0" w:noHBand="0" w:noVBand="1" w:val="04A0"/>
        <w:tblLayout w:type="fixed"/>
      </w:tblPr>
      <w:tblGrid>
        <w:gridCol w:w="2835"/>
        <w:gridCol w:w="1587"/>
        <w:gridCol w:w="1587"/>
        <w:gridCol w:w="1360"/>
        <w:gridCol w:w="1587"/>
      </w:tblGrid>
      <w:tr>
        <w:trPr>
          <w:tblHeader w:val="true"/>
          <w:cantSplit w:val="true"/>
        </w:trPr>
        <w:tc>
          <w:tcPr>
            <w:tcW w:type="dxa" w:w="2835"/>
          </w:tcPr>
          <w:p>
            <w:pPr>
              <w:keepNext/>
              <w:jc w:val="center"/>
            </w:pPr>
            <w:r/>
            <w:r>
              <w:rPr>
                <w:b/>
                <w:sz w:val="17"/>
              </w:rPr>
              <w:t>Módulo</w:t>
            </w:r>
          </w:p>
        </w:tc>
        <w:tc>
          <w:tcPr>
            <w:tcW w:type="dxa" w:w="1587"/>
          </w:tcPr>
          <w:p>
            <w:pPr>
              <w:keepNext/>
              <w:jc w:val="center"/>
            </w:pPr>
            <w:r/>
            <w:r>
              <w:rPr>
                <w:b/>
                <w:sz w:val="17"/>
              </w:rPr>
              <w:t>Sentencias</w:t>
            </w:r>
          </w:p>
        </w:tc>
        <w:tc>
          <w:tcPr>
            <w:tcW w:type="dxa" w:w="1587"/>
          </w:tcPr>
          <w:p>
            <w:pPr>
              <w:keepNext/>
              <w:jc w:val="center"/>
            </w:pPr>
            <w:r/>
            <w:r>
              <w:rPr>
                <w:b/>
                <w:sz w:val="17"/>
              </w:rPr>
              <w:t>Sin ejecutar</w:t>
            </w:r>
          </w:p>
        </w:tc>
        <w:tc>
          <w:tcPr>
            <w:tcW w:type="dxa" w:w="1361"/>
          </w:tcPr>
          <w:p>
            <w:pPr>
              <w:keepNext/>
              <w:jc w:val="center"/>
            </w:pPr>
            <w:r/>
            <w:r>
              <w:rPr>
                <w:b/>
                <w:sz w:val="17"/>
              </w:rPr>
              <w:t>Ramas</w:t>
            </w:r>
          </w:p>
        </w:tc>
        <w:tc>
          <w:tcPr>
            <w:tcW w:type="dxa" w:w="1587"/>
          </w:tcPr>
          <w:p>
            <w:pPr>
              <w:keepNext/>
              <w:jc w:val="center"/>
            </w:pPr>
            <w:r/>
            <w:r>
              <w:rPr>
                <w:b/>
                <w:sz w:val="17"/>
              </w:rPr>
              <w:t>Cobertura</w:t>
            </w:r>
          </w:p>
        </w:tc>
      </w:tr>
      <w:tr>
        <w:trPr>
          <w:cantSplit w:val="true"/>
        </w:trPr>
        <w:tc>
          <w:tcPr>
            <w:tcW w:type="dxa" w:w="2835"/>
          </w:tcPr>
          <w:p>
            <w:pPr>
              <w:keepNext/>
              <w:spacing w:after="20"/>
            </w:pPr>
            <w:r/>
            <w:r>
              <w:rPr>
                <w:sz w:val="17"/>
              </w:rPr>
              <w:t>src/domain.py</w:t>
            </w:r>
          </w:p>
        </w:tc>
        <w:tc>
          <w:tcPr>
            <w:tcW w:type="dxa" w:w="1587"/>
          </w:tcPr>
          <w:p>
            <w:pPr>
              <w:keepNext/>
              <w:spacing w:after="20"/>
            </w:pPr>
            <w:r/>
            <w:r>
              <w:rPr>
                <w:sz w:val="17"/>
              </w:rPr>
              <w:t>24</w:t>
            </w:r>
          </w:p>
        </w:tc>
        <w:tc>
          <w:tcPr>
            <w:tcW w:type="dxa" w:w="1587"/>
          </w:tcPr>
          <w:p>
            <w:pPr>
              <w:keepNext/>
              <w:spacing w:after="20"/>
            </w:pPr>
            <w:r/>
            <w:r>
              <w:rPr>
                <w:sz w:val="17"/>
              </w:rPr>
              <w:t>0</w:t>
            </w:r>
          </w:p>
        </w:tc>
        <w:tc>
          <w:tcPr>
            <w:tcW w:type="dxa" w:w="1361"/>
          </w:tcPr>
          <w:p>
            <w:pPr>
              <w:keepNext/>
              <w:spacing w:after="20"/>
            </w:pPr>
            <w:r/>
            <w:r>
              <w:rPr>
                <w:sz w:val="17"/>
              </w:rPr>
              <w:t>6</w:t>
            </w:r>
          </w:p>
        </w:tc>
        <w:tc>
          <w:tcPr>
            <w:tcW w:type="dxa" w:w="1587"/>
          </w:tcPr>
          <w:p>
            <w:pPr>
              <w:keepNext/>
              <w:spacing w:after="20"/>
            </w:pPr>
            <w:r/>
            <w:r>
              <w:rPr>
                <w:sz w:val="17"/>
              </w:rPr>
              <w:t>100 %</w:t>
            </w:r>
          </w:p>
        </w:tc>
      </w:tr>
      <w:tr>
        <w:trPr>
          <w:cantSplit w:val="true"/>
        </w:trPr>
        <w:tc>
          <w:tcPr>
            <w:tcW w:type="dxa" w:w="2835"/>
          </w:tcPr>
          <w:p>
            <w:pPr>
              <w:keepNext/>
              <w:spacing w:after="20"/>
            </w:pPr>
            <w:r/>
            <w:r>
              <w:rPr>
                <w:sz w:val="17"/>
              </w:rPr>
              <w:t>src/application.py</w:t>
            </w:r>
          </w:p>
        </w:tc>
        <w:tc>
          <w:tcPr>
            <w:tcW w:type="dxa" w:w="1587"/>
          </w:tcPr>
          <w:p>
            <w:pPr>
              <w:keepNext/>
              <w:spacing w:after="20"/>
            </w:pPr>
            <w:r/>
            <w:r>
              <w:rPr>
                <w:sz w:val="17"/>
              </w:rPr>
              <w:t>8</w:t>
            </w:r>
          </w:p>
        </w:tc>
        <w:tc>
          <w:tcPr>
            <w:tcW w:type="dxa" w:w="1587"/>
          </w:tcPr>
          <w:p>
            <w:pPr>
              <w:keepNext/>
              <w:spacing w:after="20"/>
            </w:pPr>
            <w:r/>
            <w:r>
              <w:rPr>
                <w:sz w:val="17"/>
              </w:rPr>
              <w:t>0</w:t>
            </w:r>
          </w:p>
        </w:tc>
        <w:tc>
          <w:tcPr>
            <w:tcW w:type="dxa" w:w="1361"/>
          </w:tcPr>
          <w:p>
            <w:pPr>
              <w:keepNext/>
              <w:spacing w:after="20"/>
            </w:pPr>
            <w:r/>
            <w:r>
              <w:rPr>
                <w:sz w:val="17"/>
              </w:rPr>
              <w:t>2</w:t>
            </w:r>
          </w:p>
        </w:tc>
        <w:tc>
          <w:tcPr>
            <w:tcW w:type="dxa" w:w="1587"/>
          </w:tcPr>
          <w:p>
            <w:pPr>
              <w:keepNext/>
              <w:spacing w:after="20"/>
            </w:pPr>
            <w:r/>
            <w:r>
              <w:rPr>
                <w:sz w:val="17"/>
              </w:rPr>
              <w:t>100 %</w:t>
            </w:r>
          </w:p>
        </w:tc>
      </w:tr>
      <w:tr>
        <w:trPr>
          <w:cantSplit w:val="true"/>
        </w:trPr>
        <w:tc>
          <w:tcPr>
            <w:tcW w:type="dxa" w:w="2835"/>
          </w:tcPr>
          <w:p>
            <w:pPr>
              <w:keepNext/>
              <w:spacing w:after="20"/>
            </w:pPr>
            <w:r/>
            <w:r>
              <w:rPr>
                <w:sz w:val="17"/>
              </w:rPr>
              <w:t>src/repository.py</w:t>
            </w:r>
          </w:p>
        </w:tc>
        <w:tc>
          <w:tcPr>
            <w:tcW w:type="dxa" w:w="1587"/>
          </w:tcPr>
          <w:p>
            <w:pPr>
              <w:keepNext/>
              <w:spacing w:after="20"/>
            </w:pPr>
            <w:r/>
            <w:r>
              <w:rPr>
                <w:sz w:val="17"/>
              </w:rPr>
              <w:t>18</w:t>
            </w:r>
          </w:p>
        </w:tc>
        <w:tc>
          <w:tcPr>
            <w:tcW w:type="dxa" w:w="1587"/>
          </w:tcPr>
          <w:p>
            <w:pPr>
              <w:keepNext/>
              <w:spacing w:after="20"/>
            </w:pPr>
            <w:r/>
            <w:r>
              <w:rPr>
                <w:sz w:val="17"/>
              </w:rPr>
              <w:t>0</w:t>
            </w:r>
          </w:p>
        </w:tc>
        <w:tc>
          <w:tcPr>
            <w:tcW w:type="dxa" w:w="1361"/>
          </w:tcPr>
          <w:p>
            <w:pPr>
              <w:keepNext/>
              <w:spacing w:after="20"/>
            </w:pPr>
            <w:r/>
            <w:r>
              <w:rPr>
                <w:sz w:val="17"/>
              </w:rPr>
              <w:t>0</w:t>
            </w:r>
          </w:p>
        </w:tc>
        <w:tc>
          <w:tcPr>
            <w:tcW w:type="dxa" w:w="1587"/>
          </w:tcPr>
          <w:p>
            <w:pPr>
              <w:keepNext/>
              <w:spacing w:after="20"/>
            </w:pPr>
            <w:r/>
            <w:r>
              <w:rPr>
                <w:sz w:val="17"/>
              </w:rPr>
              <w:t>100 %</w:t>
            </w:r>
          </w:p>
        </w:tc>
      </w:tr>
      <w:tr>
        <w:trPr>
          <w:cantSplit w:val="true"/>
        </w:trPr>
        <w:tc>
          <w:tcPr>
            <w:tcW w:type="dxa" w:w="2835"/>
          </w:tcPr>
          <w:p>
            <w:pPr>
              <w:keepNext/>
              <w:spacing w:after="20"/>
            </w:pPr>
            <w:r/>
            <w:r>
              <w:rPr>
                <w:sz w:val="17"/>
              </w:rPr>
              <w:t>src/security.py</w:t>
            </w:r>
          </w:p>
        </w:tc>
        <w:tc>
          <w:tcPr>
            <w:tcW w:type="dxa" w:w="1587"/>
          </w:tcPr>
          <w:p>
            <w:pPr>
              <w:keepNext/>
              <w:spacing w:after="20"/>
            </w:pPr>
            <w:r/>
            <w:r>
              <w:rPr>
                <w:sz w:val="17"/>
              </w:rPr>
              <w:t>8</w:t>
            </w:r>
          </w:p>
        </w:tc>
        <w:tc>
          <w:tcPr>
            <w:tcW w:type="dxa" w:w="1587"/>
          </w:tcPr>
          <w:p>
            <w:pPr>
              <w:keepNext/>
              <w:spacing w:after="20"/>
            </w:pPr>
            <w:r/>
            <w:r>
              <w:rPr>
                <w:sz w:val="17"/>
              </w:rPr>
              <w:t>0</w:t>
            </w:r>
          </w:p>
        </w:tc>
        <w:tc>
          <w:tcPr>
            <w:tcW w:type="dxa" w:w="1361"/>
          </w:tcPr>
          <w:p>
            <w:pPr>
              <w:keepNext/>
              <w:spacing w:after="20"/>
            </w:pPr>
            <w:r/>
            <w:r>
              <w:rPr>
                <w:sz w:val="17"/>
              </w:rPr>
              <w:t>4</w:t>
            </w:r>
          </w:p>
        </w:tc>
        <w:tc>
          <w:tcPr>
            <w:tcW w:type="dxa" w:w="1587"/>
          </w:tcPr>
          <w:p>
            <w:pPr>
              <w:keepNext/>
              <w:spacing w:after="20"/>
            </w:pPr>
            <w:r/>
            <w:r>
              <w:rPr>
                <w:sz w:val="17"/>
              </w:rPr>
              <w:t>100 %</w:t>
            </w:r>
          </w:p>
        </w:tc>
      </w:tr>
      <w:tr>
        <w:trPr>
          <w:cantSplit w:val="true"/>
        </w:trPr>
        <w:tc>
          <w:tcPr>
            <w:tcW w:type="dxa" w:w="2835"/>
          </w:tcPr>
          <w:p>
            <w:pPr>
              <w:spacing w:after="20"/>
            </w:pPr>
            <w:r/>
            <w:r>
              <w:rPr>
                <w:b/>
                <w:sz w:val="17"/>
              </w:rPr>
              <w:t>Total</w:t>
            </w:r>
          </w:p>
        </w:tc>
        <w:tc>
          <w:tcPr>
            <w:tcW w:type="dxa" w:w="1587"/>
          </w:tcPr>
          <w:p>
            <w:pPr>
              <w:spacing w:after="20"/>
            </w:pPr>
            <w:r/>
            <w:r>
              <w:rPr>
                <w:b/>
                <w:sz w:val="17"/>
              </w:rPr>
              <w:t>58</w:t>
            </w:r>
          </w:p>
        </w:tc>
        <w:tc>
          <w:tcPr>
            <w:tcW w:type="dxa" w:w="1587"/>
          </w:tcPr>
          <w:p>
            <w:pPr>
              <w:spacing w:after="20"/>
            </w:pPr>
            <w:r/>
            <w:r>
              <w:rPr>
                <w:b/>
                <w:sz w:val="17"/>
              </w:rPr>
              <w:t>0</w:t>
            </w:r>
          </w:p>
        </w:tc>
        <w:tc>
          <w:tcPr>
            <w:tcW w:type="dxa" w:w="1361"/>
          </w:tcPr>
          <w:p>
            <w:pPr>
              <w:spacing w:after="20"/>
            </w:pPr>
            <w:r/>
            <w:r>
              <w:rPr>
                <w:b/>
                <w:sz w:val="17"/>
              </w:rPr>
              <w:t>12</w:t>
            </w:r>
          </w:p>
        </w:tc>
        <w:tc>
          <w:tcPr>
            <w:tcW w:type="dxa" w:w="1587"/>
          </w:tcPr>
          <w:p>
            <w:pPr>
              <w:spacing w:after="20"/>
            </w:pPr>
            <w:r/>
            <w:r>
              <w:rPr>
                <w:b/>
                <w:sz w:val="17"/>
              </w:rPr>
              <w:t>100 %</w:t>
            </w:r>
          </w:p>
        </w:tc>
      </w:tr>
    </w:tbl>
    <w:p>
      <w:pPr>
        <w:spacing w:before="0" w:after="40" w:line="276" w:lineRule="auto"/>
        <w:jc w:val="both"/>
      </w:pPr>
    </w:p>
    <w:p>
      <w:pPr>
        <w:spacing w:before="0" w:after="120" w:line="276" w:lineRule="auto"/>
        <w:jc w:val="both"/>
      </w:pPr>
      <w:r>
        <w:t>La cobertura de líneas solo dice qué sentencias se ejecutaron al menos una vez; no dice si las aserciones eran correctas ni si faltan casos. Nuestro propio laboratorio lo muestra: con 100 % de líneas y de ramas, el pedido sigue quedando confirmado cuando el pago se rechaza. Una prueba sin aserciones útiles podría subir la cobertura sin detectar nada.</w:t>
      </w:r>
    </w:p>
    <w:p>
      <w:pPr>
        <w:spacing w:before="0" w:after="120" w:line="276" w:lineRule="auto"/>
        <w:jc w:val="both"/>
      </w:pPr>
      <w:r>
        <w:t xml:space="preserve">También comprobamos dos cosas que la cobertura no muestra. Con </w:t>
      </w:r>
      <w:r>
        <w:rPr>
          <w:rFonts w:ascii="Consolas" w:hAnsi="Consolas" w:eastAsia="Consolas"/>
          <w:sz w:val="18"/>
        </w:rPr>
        <w:t>--runxfail</w:t>
      </w:r>
      <w:r>
        <w:t xml:space="preserve">, el único </w:t>
      </w:r>
      <w:r>
        <w:rPr>
          <w:rFonts w:ascii="Consolas" w:hAnsi="Consolas" w:eastAsia="Consolas"/>
          <w:sz w:val="18"/>
        </w:rPr>
        <w:t>xfail</w:t>
      </w:r>
      <w:r>
        <w:t xml:space="preserve"> falla exactamente en </w:t>
      </w:r>
      <w:r>
        <w:rPr>
          <w:rFonts w:ascii="Consolas" w:hAnsi="Consolas" w:eastAsia="Consolas"/>
          <w:sz w:val="18"/>
        </w:rPr>
        <w:t>assert order.status != "CONFIRMED"</w:t>
      </w:r>
      <w:r>
        <w:t xml:space="preserve">, es decir, por la causa documentada y no por otra (E5_02). Y una prueba temporal que deja un motor SQLite sin liberar hace fallar la suite por </w:t>
      </w:r>
      <w:r>
        <w:rPr>
          <w:rFonts w:ascii="Consolas" w:hAnsi="Consolas" w:eastAsia="Consolas"/>
          <w:sz w:val="18"/>
        </w:rPr>
        <w:t>ResourceWarning</w:t>
      </w:r>
      <w:r>
        <w:t>, lo que confirma que la limpieza de conexiones se vigila (E4_02; la prueba se ejecutó en un clon y no forma parte de la entrega).</w:t>
      </w:r>
    </w:p>
    <w:p>
      <w:pPr>
        <w:keepNext/>
        <w:spacing w:before="120"/>
        <w:jc w:val="center"/>
      </w:pPr>
      <w:r>
        <w:drawing>
          <wp:inline xmlns:a="http://schemas.openxmlformats.org/drawingml/2006/main" xmlns:pic="http://schemas.openxmlformats.org/drawingml/2006/picture">
            <wp:extent cx="5580000" cy="2124365"/>
            <wp:docPr id="11" name="Picture 11"/>
            <wp:cNvGraphicFramePr>
              <a:graphicFrameLocks noChangeAspect="1"/>
            </wp:cNvGraphicFramePr>
            <a:graphic>
              <a:graphicData uri="http://schemas.openxmlformats.org/drawingml/2006/picture">
                <pic:pic>
                  <pic:nvPicPr>
                    <pic:cNvPr id="0" name="E7_08_pytest_cobertura_html_revalidacion_20261028_l84-101.png"/>
                    <pic:cNvPicPr/>
                  </pic:nvPicPr>
                  <pic:blipFill>
                    <a:blip r:embed="rId28"/>
                    <a:stretch>
                      <a:fillRect/>
                    </a:stretch>
                  </pic:blipFill>
                  <pic:spPr>
                    <a:xfrm>
                      <a:off x="0" y="0"/>
                      <a:ext cx="5580000" cy="2124365"/>
                    </a:xfrm>
                    <a:prstGeom prst="rect"/>
                  </pic:spPr>
                </pic:pic>
              </a:graphicData>
            </a:graphic>
          </wp:inline>
        </w:drawing>
      </w:r>
    </w:p>
    <w:p>
      <w:pPr>
        <w:spacing w:before="80" w:after="120" w:line="276" w:lineRule="auto"/>
        <w:jc w:val="center"/>
      </w:pPr>
      <w:r>
        <w:rPr>
          <w:b/>
          <w:sz w:val="19"/>
        </w:rPr>
        <w:t xml:space="preserve">Figura 11. </w:t>
      </w:r>
      <w:r>
        <w:rPr>
          <w:sz w:val="19"/>
        </w:rPr>
        <w:t>Pytest con cobertura y reporte HTML en la ejecución final del 28/10/2026 (E7).</w:t>
      </w:r>
    </w:p>
    <w:p>
      <w:pPr>
        <w:keepNext/>
        <w:spacing w:before="120"/>
        <w:jc w:val="center"/>
      </w:pPr>
      <w:r>
        <w:drawing>
          <wp:inline xmlns:a="http://schemas.openxmlformats.org/drawingml/2006/main" xmlns:pic="http://schemas.openxmlformats.org/drawingml/2006/picture">
            <wp:extent cx="4500000" cy="2290909"/>
            <wp:docPr id="12" name="Picture 12"/>
            <wp:cNvGraphicFramePr>
              <a:graphicFrameLocks noChangeAspect="1"/>
            </wp:cNvGraphicFramePr>
            <a:graphic>
              <a:graphicData uri="http://schemas.openxmlformats.org/drawingml/2006/picture">
                <pic:pic>
                  <pic:nvPicPr>
                    <pic:cNvPr id="0" name="E7_11_htmlcov_index_20261028.png"/>
                    <pic:cNvPicPr/>
                  </pic:nvPicPr>
                  <pic:blipFill>
                    <a:blip r:embed="rId29"/>
                    <a:stretch>
                      <a:fillRect/>
                    </a:stretch>
                  </pic:blipFill>
                  <pic:spPr>
                    <a:xfrm>
                      <a:off x="0" y="0"/>
                      <a:ext cx="4500000" cy="2290909"/>
                    </a:xfrm>
                    <a:prstGeom prst="rect"/>
                  </pic:spPr>
                </pic:pic>
              </a:graphicData>
            </a:graphic>
          </wp:inline>
        </w:drawing>
      </w:r>
    </w:p>
    <w:p>
      <w:pPr>
        <w:spacing w:before="80" w:after="120" w:line="276" w:lineRule="auto"/>
        <w:jc w:val="center"/>
      </w:pPr>
      <w:r>
        <w:rPr>
          <w:b/>
          <w:sz w:val="19"/>
        </w:rPr>
        <w:t xml:space="preserve">Figura 12. </w:t>
      </w:r>
      <w:r>
        <w:rPr>
          <w:sz w:val="19"/>
        </w:rPr>
        <w:t xml:space="preserve">Reporte HTML de cobertura generado en </w:t>
      </w:r>
      <w:r>
        <w:rPr>
          <w:rFonts w:ascii="Consolas" w:hAnsi="Consolas" w:eastAsia="Consolas"/>
          <w:sz w:val="18"/>
        </w:rPr>
        <w:t>htmlcov/index.html</w:t>
      </w:r>
      <w:r>
        <w:rPr>
          <w:sz w:val="19"/>
        </w:rPr>
        <w:t xml:space="preserve"> el 28/10/2026 (captura del navegador).</w:t>
      </w:r>
    </w:p>
    <w:p>
      <w:pPr>
        <w:pStyle w:val="Ttulo2"/>
        <w:keepNext/>
      </w:pPr>
      <w:r>
        <w:t>1.9 GitHub Actions y CI/CD</w:t>
      </w:r>
    </w:p>
    <w:p>
      <w:pPr>
        <w:spacing w:before="0" w:after="120" w:line="276" w:lineRule="auto"/>
        <w:jc w:val="both"/>
      </w:pPr>
      <w:r>
        <w:t xml:space="preserve">Conservamos las etapas del workflow del profesor y lo ajustamos: los comandos se invocan con </w:t>
      </w:r>
      <w:r>
        <w:rPr>
          <w:rFonts w:ascii="Consolas" w:hAnsi="Consolas" w:eastAsia="Consolas"/>
          <w:sz w:val="18"/>
        </w:rPr>
        <w:t>python -m</w:t>
      </w:r>
      <w:r>
        <w:t xml:space="preserve">, se ejecuta con Python 3.11 y 3.13, el reporte HTML se publica como artefacto y el workflow también se puede lanzar a mano. Las etapas son checkout, instalación de Python, dependencias, Ruff, pytest con cobertura mínima del 80 % y </w:t>
      </w:r>
      <w:r>
        <w:rPr>
          <w:rFonts w:ascii="Consolas" w:hAnsi="Consolas" w:eastAsia="Consolas"/>
          <w:sz w:val="18"/>
        </w:rPr>
        <w:t>compileall</w:t>
      </w:r>
      <w:r>
        <w:t xml:space="preserve">. El </w:t>
      </w:r>
      <w:r>
        <w:rPr>
          <w:rFonts w:ascii="Consolas" w:hAnsi="Consolas" w:eastAsia="Consolas"/>
          <w:sz w:val="18"/>
        </w:rPr>
        <w:t>.gitignore</w:t>
      </w:r>
      <w:r>
        <w:t xml:space="preserve"> excluye </w:t>
      </w:r>
      <w:r>
        <w:rPr>
          <w:rFonts w:ascii="Consolas" w:hAnsi="Consolas" w:eastAsia="Consolas"/>
          <w:sz w:val="18"/>
        </w:rPr>
        <w:t>.venv/</w:t>
      </w:r>
      <w:r>
        <w:t xml:space="preserve">, </w:t>
      </w:r>
      <w:r>
        <w:rPr>
          <w:rFonts w:ascii="Consolas" w:hAnsi="Consolas" w:eastAsia="Consolas"/>
          <w:sz w:val="18"/>
        </w:rPr>
        <w:t>__pycache__/</w:t>
      </w:r>
      <w:r>
        <w:t xml:space="preserve">, </w:t>
      </w:r>
      <w:r>
        <w:rPr>
          <w:rFonts w:ascii="Consolas" w:hAnsi="Consolas" w:eastAsia="Consolas"/>
          <w:sz w:val="18"/>
        </w:rPr>
        <w:t>.pytest_cache/</w:t>
      </w:r>
      <w:r>
        <w:t xml:space="preserve">, </w:t>
      </w:r>
      <w:r>
        <w:rPr>
          <w:rFonts w:ascii="Consolas" w:hAnsi="Consolas" w:eastAsia="Consolas"/>
          <w:sz w:val="18"/>
        </w:rPr>
        <w:t>htmlcov/</w:t>
      </w:r>
      <w:r>
        <w:t xml:space="preserve">, </w:t>
      </w:r>
      <w:r>
        <w:rPr>
          <w:rFonts w:ascii="Consolas" w:hAnsi="Consolas" w:eastAsia="Consolas"/>
          <w:sz w:val="18"/>
        </w:rPr>
        <w:t>.coverage</w:t>
      </w:r>
      <w:r>
        <w:t xml:space="preserve">, </w:t>
      </w:r>
      <w:r>
        <w:rPr>
          <w:rFonts w:ascii="Consolas" w:hAnsi="Consolas" w:eastAsia="Consolas"/>
          <w:sz w:val="18"/>
        </w:rPr>
        <w:t>.env</w:t>
      </w:r>
      <w:r>
        <w:t>, llaves y bases locales.</w:t>
      </w:r>
    </w:p>
    <w:p>
      <w:pPr>
        <w:spacing w:before="0" w:after="120" w:line="276" w:lineRule="auto"/>
        <w:jc w:val="both"/>
      </w:pPr>
      <w:r>
        <w:t xml:space="preserve">El YAML se validó con actionlint (sin errores). Como la sesión no tenía una cuenta de GitHub vinculada, </w:t>
      </w:r>
      <w:r>
        <w:rPr>
          <w:b/>
        </w:rPr>
        <w:t>las tres ejecuciones reales (verde, roja y verde) siguen pendientes</w:t>
      </w:r>
      <w:r>
        <w:t xml:space="preserve"> y deben hacerse desde la cuenta del equipo con los comandos del </w:t>
      </w:r>
      <w:r>
        <w:rPr>
          <w:rFonts w:ascii="Consolas" w:hAnsi="Consolas" w:eastAsia="Consolas"/>
          <w:sz w:val="18"/>
        </w:rPr>
        <w:t>README.md</w:t>
      </w:r>
      <w:r>
        <w:t xml:space="preserve">. Mientras tanto ejecutamos las mismas etapas en local, en un clon del repositorio, con </w:t>
      </w:r>
      <w:r>
        <w:rPr>
          <w:rFonts w:ascii="Consolas" w:hAnsi="Consolas" w:eastAsia="Consolas"/>
          <w:sz w:val="18"/>
        </w:rPr>
        <w:t>herramientas/ci_local.sh</w:t>
      </w:r>
      <w:r>
        <w:t xml:space="preserve">: verde, rojo tras cambiar la aserción </w:t>
      </w:r>
      <w:r>
        <w:rPr>
          <w:rFonts w:ascii="Consolas" w:hAnsi="Consolas" w:eastAsia="Consolas"/>
          <w:sz w:val="18"/>
        </w:rPr>
        <w:t>170</w:t>
      </w:r>
      <w:r>
        <w:t xml:space="preserve"> por </w:t>
      </w:r>
      <w:r>
        <w:rPr>
          <w:rFonts w:ascii="Consolas" w:hAnsi="Consolas" w:eastAsia="Consolas"/>
          <w:sz w:val="18"/>
        </w:rPr>
        <w:t>171</w:t>
      </w:r>
      <w:r>
        <w:t xml:space="preserve"> y verde de nuevo tras </w:t>
      </w:r>
      <w:r>
        <w:rPr>
          <w:rFonts w:ascii="Consolas" w:hAnsi="Consolas" w:eastAsia="Consolas"/>
          <w:sz w:val="18"/>
        </w:rPr>
        <w:t>git revert</w:t>
      </w:r>
      <w:r>
        <w:t xml:space="preserve">. Esto prueba que el fallo controlado detiene las etapas, pero </w:t>
      </w:r>
      <w:r>
        <w:rPr>
          <w:b/>
        </w:rPr>
        <w:t>no sustituye</w:t>
      </w:r>
      <w:r>
        <w:t xml:space="preserve"> la evidencia de GitHub. Tampoco afirmamos que haya protección de rama: se configura aparte en GitHub.</w:t>
      </w:r>
    </w:p>
    <w:p>
      <w:pPr>
        <w:keepNext/>
        <w:spacing w:before="120"/>
        <w:jc w:val="center"/>
      </w:pPr>
      <w:r>
        <w:drawing>
          <wp:inline xmlns:a="http://schemas.openxmlformats.org/drawingml/2006/main" xmlns:pic="http://schemas.openxmlformats.org/drawingml/2006/picture">
            <wp:extent cx="5580000" cy="2719188"/>
            <wp:docPr id="13" name="Picture 13"/>
            <wp:cNvGraphicFramePr>
              <a:graphicFrameLocks noChangeAspect="1"/>
            </wp:cNvGraphicFramePr>
            <a:graphic>
              <a:graphicData uri="http://schemas.openxmlformats.org/drawingml/2006/picture">
                <pic:pic>
                  <pic:nvPicPr>
                    <pic:cNvPr id="0" name="E8_03_simulacion_local_2_rojo_l16-41.png"/>
                    <pic:cNvPicPr/>
                  </pic:nvPicPr>
                  <pic:blipFill>
                    <a:blip r:embed="rId30"/>
                    <a:stretch>
                      <a:fillRect/>
                    </a:stretch>
                  </pic:blipFill>
                  <pic:spPr>
                    <a:xfrm>
                      <a:off x="0" y="0"/>
                      <a:ext cx="5580000" cy="2719188"/>
                    </a:xfrm>
                    <a:prstGeom prst="rect"/>
                  </pic:spPr>
                </pic:pic>
              </a:graphicData>
            </a:graphic>
          </wp:inline>
        </w:drawing>
      </w:r>
    </w:p>
    <w:p>
      <w:pPr>
        <w:spacing w:before="80" w:after="120" w:line="276" w:lineRule="auto"/>
        <w:jc w:val="center"/>
      </w:pPr>
      <w:r>
        <w:rPr>
          <w:b/>
          <w:sz w:val="19"/>
        </w:rPr>
        <w:t xml:space="preserve">Figura 13. </w:t>
      </w:r>
      <w:r>
        <w:rPr>
          <w:sz w:val="19"/>
        </w:rPr>
        <w:t>Simulación local del pipeline con el fallo controlado: pytest falla y el pipeline se detiene (E8, simulación local).</w:t>
      </w:r>
    </w:p>
    <w:p>
      <w:pPr>
        <w:keepNext/>
        <w:spacing w:before="120"/>
        <w:jc w:val="center"/>
      </w:pPr>
      <w:r>
        <w:drawing>
          <wp:inline xmlns:a="http://schemas.openxmlformats.org/drawingml/2006/main" xmlns:pic="http://schemas.openxmlformats.org/drawingml/2006/picture">
            <wp:extent cx="5580000" cy="1869442"/>
            <wp:docPr id="14" name="Picture 14"/>
            <wp:cNvGraphicFramePr>
              <a:graphicFrameLocks noChangeAspect="1"/>
            </wp:cNvGraphicFramePr>
            <a:graphic>
              <a:graphicData uri="http://schemas.openxmlformats.org/drawingml/2006/picture">
                <pic:pic>
                  <pic:nvPicPr>
                    <pic:cNvPr id="0" name="E8_04_simulacion_local_3_verde_tras_revert_l12-27.png"/>
                    <pic:cNvPicPr/>
                  </pic:nvPicPr>
                  <pic:blipFill>
                    <a:blip r:embed="rId31"/>
                    <a:stretch>
                      <a:fillRect/>
                    </a:stretch>
                  </pic:blipFill>
                  <pic:spPr>
                    <a:xfrm>
                      <a:off x="0" y="0"/>
                      <a:ext cx="5580000" cy="1869442"/>
                    </a:xfrm>
                    <a:prstGeom prst="rect"/>
                  </pic:spPr>
                </pic:pic>
              </a:graphicData>
            </a:graphic>
          </wp:inline>
        </w:drawing>
      </w:r>
    </w:p>
    <w:p>
      <w:pPr>
        <w:spacing w:before="80" w:after="120" w:line="276" w:lineRule="auto"/>
        <w:jc w:val="center"/>
      </w:pPr>
      <w:r>
        <w:rPr>
          <w:b/>
          <w:sz w:val="19"/>
        </w:rPr>
        <w:t xml:space="preserve">Figura 14. </w:t>
      </w:r>
      <w:r>
        <w:rPr>
          <w:sz w:val="19"/>
        </w:rPr>
        <w:t>Simulación local después de revertir el fallo: todas las etapas aprobadas (E8, simulación local).</w:t>
      </w:r>
    </w:p>
    <w:p>
      <w:pPr>
        <w:pStyle w:val="Ttulo2"/>
        <w:keepNext/>
      </w:pPr>
      <w:r>
        <w:t>1.10 Adaptación al PIA de Eventos Nova</w:t>
      </w:r>
    </w:p>
    <w:p>
      <w:pPr>
        <w:spacing w:before="0" w:after="120" w:line="276" w:lineRule="auto"/>
        <w:jc w:val="both"/>
      </w:pPr>
      <w:r>
        <w:t xml:space="preserve">El ZIP de Eventos Nova trae el código real del equipo: dominio con máquinas de estado y especificaciones, servicios de aplicación, una composición en memoria y otra persistente con PostgreSQL, API FastAPI y una suite propia de 1 306 pruebas con </w:t>
      </w:r>
      <w:r>
        <w:rPr>
          <w:rFonts w:ascii="Consolas" w:hAnsi="Consolas" w:eastAsia="Consolas"/>
          <w:sz w:val="18"/>
        </w:rPr>
        <w:t>unittest</w:t>
      </w:r>
      <w:r>
        <w:t xml:space="preserve">. Por eso las pruebas de esta unidad se escribieron </w:t>
      </w:r>
      <w:r>
        <w:rPr>
          <w:b/>
        </w:rPr>
        <w:t>sobre ese código</w:t>
      </w:r>
      <w:r>
        <w:t xml:space="preserve">, sin crear un módulo de referencia ni cambiar reglas. Viven en </w:t>
      </w:r>
      <w:r>
        <w:rPr>
          <w:rFonts w:ascii="Consolas" w:hAnsi="Consolas" w:eastAsia="Consolas"/>
          <w:sz w:val="18"/>
        </w:rPr>
        <w:t>tests_u5/</w:t>
      </w:r>
      <w:r>
        <w:t xml:space="preserve"> y usan el mismo ayudante de flujo que la suite del equipo (</w:t>
      </w:r>
      <w:r>
        <w:rPr>
          <w:rFonts w:ascii="Consolas" w:hAnsi="Consolas" w:eastAsia="Consolas"/>
          <w:sz w:val="18"/>
        </w:rPr>
        <w:t>tests/apoyo_flujo.py</w:t>
      </w:r>
      <w:r>
        <w:t xml:space="preserve">). Probamos la copia tal como se entregó: commit </w:t>
      </w:r>
      <w:r>
        <w:rPr>
          <w:rFonts w:ascii="Consolas" w:hAnsi="Consolas" w:eastAsia="Consolas"/>
          <w:sz w:val="18"/>
        </w:rPr>
        <w:t>6b501af</w:t>
      </w:r>
      <w:r>
        <w:t xml:space="preserve"> más los cambios locales sin confirmar que contenía.</w:t>
      </w:r>
    </w:p>
    <w:p>
      <w:pPr>
        <w:spacing w:before="0" w:after="120" w:line="276" w:lineRule="auto"/>
        <w:jc w:val="both"/>
      </w:pPr>
      <w:r>
        <w:rPr>
          <w:b/>
        </w:rPr>
        <w:t>Corrección del empaquetado (28/10/2026).</w:t>
      </w:r>
      <w:r>
        <w:t xml:space="preserve"> En el ZIP v1 solo iba la carpeta </w:t>
      </w:r>
      <w:r>
        <w:rPr>
          <w:rFonts w:ascii="Consolas" w:hAnsi="Consolas" w:eastAsia="Consolas"/>
          <w:sz w:val="18"/>
        </w:rPr>
        <w:t>tests_u5/</w:t>
      </w:r>
      <w:r>
        <w:t xml:space="preserve">; su </w:t>
      </w:r>
      <w:r>
        <w:rPr>
          <w:rFonts w:ascii="Consolas" w:hAnsi="Consolas" w:eastAsia="Consolas"/>
          <w:sz w:val="18"/>
        </w:rPr>
        <w:t>conftest.py</w:t>
      </w:r>
      <w:r>
        <w:t xml:space="preserve"> agregaba a </w:t>
      </w:r>
      <w:r>
        <w:rPr>
          <w:rFonts w:ascii="Consolas" w:hAnsi="Consolas" w:eastAsia="Consolas"/>
          <w:sz w:val="18"/>
        </w:rPr>
        <w:t>sys.path</w:t>
      </w:r>
      <w:r>
        <w:t xml:space="preserve"> las carpetas </w:t>
      </w:r>
      <w:r>
        <w:rPr>
          <w:rFonts w:ascii="Consolas" w:hAnsi="Consolas" w:eastAsia="Consolas"/>
          <w:sz w:val="18"/>
        </w:rPr>
        <w:t>../src</w:t>
      </w:r>
      <w:r>
        <w:t xml:space="preserve"> y </w:t>
      </w:r>
      <w:r>
        <w:rPr>
          <w:rFonts w:ascii="Consolas" w:hAnsi="Consolas" w:eastAsia="Consolas"/>
          <w:sz w:val="18"/>
        </w:rPr>
        <w:t>../tests</w:t>
      </w:r>
      <w:r>
        <w:t xml:space="preserve">, que en el ZIP no existían, y los cinco archivos de prueba fallaban al recopilarse (E9_09, E9_10). Agregar rutas no lo habría resuelto, porque el código no estaba. Ahora el ZIP incluye una copia del repositorio del equipo en </w:t>
      </w:r>
      <w:r>
        <w:rPr>
          <w:rFonts w:ascii="Consolas" w:hAnsi="Consolas" w:eastAsia="Consolas"/>
          <w:sz w:val="18"/>
        </w:rPr>
        <w:t>pia_eventos_nova/Eventosnova/</w:t>
      </w:r>
      <w:r>
        <w:t xml:space="preserve"> con </w:t>
      </w:r>
      <w:r>
        <w:rPr>
          <w:rFonts w:ascii="Consolas" w:hAnsi="Consolas" w:eastAsia="Consolas"/>
          <w:sz w:val="18"/>
        </w:rPr>
        <w:t>tests_u5/</w:t>
      </w:r>
      <w:r>
        <w:t xml:space="preserve"> en su raíz y un </w:t>
      </w:r>
      <w:r>
        <w:rPr>
          <w:rFonts w:ascii="Consolas" w:hAnsi="Consolas" w:eastAsia="Consolas"/>
          <w:sz w:val="18"/>
        </w:rPr>
        <w:t>pytest.ini</w:t>
      </w:r>
      <w:r>
        <w:t xml:space="preserve">, y </w:t>
      </w:r>
      <w:r>
        <w:rPr>
          <w:rFonts w:ascii="Consolas" w:hAnsi="Consolas" w:eastAsia="Consolas"/>
          <w:sz w:val="18"/>
        </w:rPr>
        <w:t>conftest.py</w:t>
      </w:r>
      <w:r>
        <w:t xml:space="preserve"> detiene la ejecución con un mensaje claro si falta el código (E9_18).</w:t>
      </w:r>
    </w:p>
    <w:p>
      <w:pPr>
        <w:spacing w:before="0" w:after="120" w:line="276" w:lineRule="auto"/>
        <w:jc w:val="both"/>
      </w:pPr>
      <w:r>
        <w:t>Las reglas se tomaron del BRD corregido, las historias de usuario con sus criterios de aceptación, el glosario y el cierre de alcance aprobado del 23/10/2026. Elegimos cuatro reglas con plazos, permisos, aprobaciones y costos (Tabla 4).</w:t>
      </w:r>
    </w:p>
    <w:p>
      <w:pPr>
        <w:keepNext/>
        <w:spacing w:before="160" w:after="60" w:line="276" w:lineRule="auto"/>
        <w:jc w:val="center"/>
      </w:pPr>
      <w:r>
        <w:rPr>
          <w:b/>
          <w:sz w:val="19"/>
        </w:rPr>
        <w:t xml:space="preserve">Tabla 4. </w:t>
      </w:r>
      <w:r>
        <w:rPr>
          <w:sz w:val="19"/>
        </w:rPr>
        <w:t>Reglas de Eventos Nova seleccionadas</w:t>
      </w:r>
    </w:p>
    <w:tbl>
      <w:tblPr>
        <w:tblStyle w:val="Tabladecuadrcula4-nfasis11"/>
        <w:tblW w:type="dxa" w:w="9865"/>
        <w:jc w:val="center"/>
        <w:tblLayout w:type="fixed"/>
        <w:tblLook w:firstColumn="1" w:firstRow="1" w:lastColumn="0" w:lastRow="0" w:noHBand="0" w:noVBand="1" w:val="04A0"/>
        <w:tblLayout w:type="fixed"/>
      </w:tblPr>
      <w:tblGrid>
        <w:gridCol w:w="4536"/>
        <w:gridCol w:w="3515"/>
        <w:gridCol w:w="1814"/>
      </w:tblGrid>
      <w:tr>
        <w:trPr>
          <w:tblHeader w:val="true"/>
          <w:cantSplit w:val="true"/>
        </w:trPr>
        <w:tc>
          <w:tcPr>
            <w:tcW w:type="dxa" w:w="4535"/>
          </w:tcPr>
          <w:p>
            <w:pPr>
              <w:keepNext/>
              <w:jc w:val="center"/>
            </w:pPr>
            <w:r/>
            <w:r>
              <w:rPr>
                <w:b/>
                <w:sz w:val="17"/>
              </w:rPr>
              <w:t>Regla</w:t>
            </w:r>
          </w:p>
        </w:tc>
        <w:tc>
          <w:tcPr>
            <w:tcW w:type="dxa" w:w="3515"/>
          </w:tcPr>
          <w:p>
            <w:pPr>
              <w:keepNext/>
              <w:jc w:val="center"/>
            </w:pPr>
            <w:r/>
            <w:r>
              <w:rPr>
                <w:b/>
                <w:sz w:val="17"/>
              </w:rPr>
              <w:t>Fuentes aprobadas</w:t>
            </w:r>
          </w:p>
        </w:tc>
        <w:tc>
          <w:tcPr>
            <w:tcW w:type="dxa" w:w="1814"/>
          </w:tcPr>
          <w:p>
            <w:pPr>
              <w:keepNext/>
              <w:jc w:val="center"/>
            </w:pPr>
            <w:r/>
            <w:r>
              <w:rPr>
                <w:b/>
                <w:sz w:val="17"/>
              </w:rPr>
              <w:t>Casos</w:t>
            </w:r>
          </w:p>
        </w:tc>
      </w:tr>
      <w:tr>
        <w:trPr>
          <w:cantSplit w:val="true"/>
        </w:trPr>
        <w:tc>
          <w:tcPr>
            <w:tcW w:type="dxa" w:w="4535"/>
          </w:tcPr>
          <w:p>
            <w:pPr>
              <w:keepNext/>
              <w:spacing w:after="20"/>
            </w:pPr>
            <w:r/>
            <w:r>
              <w:rPr>
                <w:sz w:val="17"/>
              </w:rPr>
              <w:t>R1. Servicio adicional: al menos cinco días naturales; se verifica en orden evento → plazo → saldo y se registra solo el primer motivo</w:t>
            </w:r>
          </w:p>
        </w:tc>
        <w:tc>
          <w:tcPr>
            <w:tcW w:type="dxa" w:w="3515"/>
          </w:tcPr>
          <w:p>
            <w:pPr>
              <w:keepNext/>
              <w:spacing w:after="20"/>
            </w:pPr>
            <w:r/>
            <w:r>
              <w:rPr>
                <w:sz w:val="17"/>
              </w:rPr>
              <w:t>BN-004, SE-004, GL-015; US-025, CA-073, CA-075, CA-083</w:t>
            </w:r>
          </w:p>
        </w:tc>
        <w:tc>
          <w:tcPr>
            <w:tcW w:type="dxa" w:w="1814"/>
          </w:tcPr>
          <w:p>
            <w:pPr>
              <w:keepNext/>
              <w:spacing w:after="20"/>
            </w:pPr>
            <w:r/>
            <w:r>
              <w:rPr>
                <w:sz w:val="17"/>
              </w:rPr>
              <w:t>PIA-01 a PIA-04, PIA-03b</w:t>
            </w:r>
          </w:p>
        </w:tc>
      </w:tr>
      <w:tr>
        <w:trPr>
          <w:cantSplit w:val="true"/>
        </w:trPr>
        <w:tc>
          <w:tcPr>
            <w:tcW w:type="dxa" w:w="4535"/>
          </w:tcPr>
          <w:p>
            <w:pPr>
              <w:keepNext/>
              <w:spacing w:after="20"/>
            </w:pPr>
            <w:r/>
            <w:r>
              <w:rPr>
                <w:sz w:val="17"/>
              </w:rPr>
              <w:t>R2. Anticipo: al menos 30 % del costo, en tres días hábiles desde la firma; luego contacto y 24 horas naturales</w:t>
            </w:r>
          </w:p>
        </w:tc>
        <w:tc>
          <w:tcPr>
            <w:tcW w:type="dxa" w:w="3515"/>
          </w:tcPr>
          <w:p>
            <w:pPr>
              <w:keepNext/>
              <w:spacing w:after="20"/>
            </w:pPr>
            <w:r/>
            <w:r>
              <w:rPr>
                <w:sz w:val="17"/>
              </w:rPr>
              <w:t>BN-009, SE-010, GL-060; CA-019 a CA-021; decisión B</w:t>
            </w:r>
          </w:p>
        </w:tc>
        <w:tc>
          <w:tcPr>
            <w:tcW w:type="dxa" w:w="1814"/>
          </w:tcPr>
          <w:p>
            <w:pPr>
              <w:keepNext/>
              <w:spacing w:after="20"/>
            </w:pPr>
            <w:r/>
            <w:r>
              <w:rPr>
                <w:sz w:val="17"/>
              </w:rPr>
              <w:t>PIA-05 a PIA-09</w:t>
            </w:r>
          </w:p>
        </w:tc>
      </w:tr>
      <w:tr>
        <w:trPr>
          <w:cantSplit w:val="true"/>
        </w:trPr>
        <w:tc>
          <w:tcPr>
            <w:tcW w:type="dxa" w:w="4535"/>
          </w:tcPr>
          <w:p>
            <w:pPr>
              <w:keepNext/>
              <w:spacing w:after="20"/>
            </w:pPr>
            <w:r/>
            <w:r>
              <w:rPr>
                <w:sz w:val="17"/>
              </w:rPr>
              <w:t>R3. Cambio con menos de siete días naturales: cargo por cambio tardío según tarifa vigente, separado del costo del proveedor; sin cambios tras el inicio</w:t>
            </w:r>
          </w:p>
        </w:tc>
        <w:tc>
          <w:tcPr>
            <w:tcW w:type="dxa" w:w="3515"/>
          </w:tcPr>
          <w:p>
            <w:pPr>
              <w:keepNext/>
              <w:spacing w:after="20"/>
            </w:pPr>
            <w:r/>
            <w:r>
              <w:rPr>
                <w:sz w:val="17"/>
              </w:rPr>
              <w:t>BN-003, SE-003, SE-005, GL-020, GL-025; CA-039, CA-061 a CA-063</w:t>
            </w:r>
          </w:p>
        </w:tc>
        <w:tc>
          <w:tcPr>
            <w:tcW w:type="dxa" w:w="1814"/>
          </w:tcPr>
          <w:p>
            <w:pPr>
              <w:keepNext/>
              <w:spacing w:after="20"/>
            </w:pPr>
            <w:r/>
            <w:r>
              <w:rPr>
                <w:sz w:val="17"/>
              </w:rPr>
              <w:t>PIA-10 a PIA-13</w:t>
            </w:r>
          </w:p>
        </w:tc>
      </w:tr>
      <w:tr>
        <w:trPr>
          <w:cantSplit w:val="true"/>
        </w:trPr>
        <w:tc>
          <w:tcPr>
            <w:tcW w:type="dxa" w:w="4535"/>
          </w:tcPr>
          <w:p>
            <w:pPr>
              <w:keepNext/>
              <w:spacing w:after="20"/>
            </w:pPr>
            <w:r/>
            <w:r>
              <w:rPr>
                <w:sz w:val="17"/>
              </w:rPr>
              <w:t>R4. Pago de servicio adicional: 24 horas naturales desde la solicitud de pago; cierre por falta de pago</w:t>
            </w:r>
          </w:p>
        </w:tc>
        <w:tc>
          <w:tcPr>
            <w:tcW w:type="dxa" w:w="3515"/>
          </w:tcPr>
          <w:p>
            <w:pPr>
              <w:keepNext/>
              <w:spacing w:after="20"/>
            </w:pPr>
            <w:r/>
            <w:r>
              <w:rPr>
                <w:sz w:val="17"/>
              </w:rPr>
              <w:t>BN-004, GL-045, GL-060; CA-080, CA-082</w:t>
            </w:r>
          </w:p>
        </w:tc>
        <w:tc>
          <w:tcPr>
            <w:tcW w:type="dxa" w:w="1814"/>
          </w:tcPr>
          <w:p>
            <w:pPr>
              <w:keepNext/>
              <w:spacing w:after="20"/>
            </w:pPr>
            <w:r/>
            <w:r>
              <w:rPr>
                <w:sz w:val="17"/>
              </w:rPr>
              <w:t>PIA-14 a PIA-16</w:t>
            </w:r>
          </w:p>
        </w:tc>
      </w:tr>
      <w:tr>
        <w:trPr>
          <w:cantSplit w:val="true"/>
        </w:trPr>
        <w:tc>
          <w:tcPr>
            <w:tcW w:type="dxa" w:w="4535"/>
          </w:tcPr>
          <w:p>
            <w:pPr>
              <w:spacing w:after="20"/>
            </w:pPr>
            <w:r/>
            <w:r>
              <w:rPr>
                <w:sz w:val="17"/>
              </w:rPr>
              <w:t>Integración: persistencia en PostgreSQL y dobles de los puertos externos</w:t>
            </w:r>
          </w:p>
        </w:tc>
        <w:tc>
          <w:tcPr>
            <w:tcW w:type="dxa" w:w="3515"/>
          </w:tcPr>
          <w:p>
            <w:pPr>
              <w:spacing w:after="20"/>
            </w:pPr>
            <w:r/>
            <w:r>
              <w:rPr>
                <w:sz w:val="17"/>
              </w:rPr>
              <w:t>ADR-004; IVerificadorPagos, IConsultaDisponibilidadProveedor</w:t>
            </w:r>
          </w:p>
        </w:tc>
        <w:tc>
          <w:tcPr>
            <w:tcW w:type="dxa" w:w="1814"/>
          </w:tcPr>
          <w:p>
            <w:pPr>
              <w:spacing w:after="20"/>
            </w:pPr>
            <w:r/>
            <w:r>
              <w:rPr>
                <w:sz w:val="17"/>
              </w:rPr>
              <w:t>PIA-17 a PIA-21</w:t>
            </w:r>
          </w:p>
        </w:tc>
      </w:tr>
    </w:tbl>
    <w:p>
      <w:pPr>
        <w:spacing w:before="0" w:after="40" w:line="276" w:lineRule="auto"/>
        <w:jc w:val="both"/>
      </w:pPr>
    </w:p>
    <w:p>
      <w:pPr>
        <w:spacing w:before="0" w:after="120" w:line="276" w:lineRule="auto"/>
        <w:jc w:val="both"/>
      </w:pPr>
      <w:r>
        <w:t xml:space="preserve">Los límites se tomaron de GL-060: los plazos en días hábiles tienen límite </w:t>
      </w:r>
      <w:r>
        <w:rPr>
          <w:b/>
        </w:rPr>
        <w:t>exclusivo</w:t>
      </w:r>
      <w:r>
        <w:t xml:space="preserve"> (vencen a las 00:00 del día siguiente) y las ventanas de horas, </w:t>
      </w:r>
      <w:r>
        <w:rPr>
          <w:b/>
        </w:rPr>
        <w:t>inclusivo</w:t>
      </w:r>
      <w:r>
        <w:t>. Por eso PIA-08 prueba el seguimiento del anticipo a las 23:59:59 del martes 06/10 (todavía en plazo) y a las 00:00 del miércoles 07/10 (ya vencido), y PIA-09 y PIA-15 prueban el instante exacto de las 24 horas. La tarifa del cargo tardío no está fijada en los documentos; las pruebas usan 500.00 como dato de ejemplo, no como monto aprobado.</w:t>
      </w:r>
    </w:p>
    <w:p>
      <w:pPr>
        <w:spacing w:before="40" w:after="160" w:line="240" w:lineRule="auto"/>
        <w:shd w:val="clear" w:color="auto" w:fill="F2F4F7"/>
        <w:ind w:left="170" w:right="170"/>
      </w:pPr>
      <w:r>
        <w:rPr>
          <w:rFonts w:ascii="Consolas" w:hAnsi="Consolas" w:eastAsia="Consolas"/>
          <w:sz w:val="17"/>
        </w:rPr>
        <w:t>def test_pia03_cuatro_dias_no_procede_y_no_se_buscan_proveedores():</w:t>
        <w:br/>
      </w:r>
      <w:r>
        <w:rPr>
          <w:rFonts w:ascii="Consolas" w:hAnsi="Consolas" w:eastAsia="Consolas"/>
          <w:sz w:val="17"/>
        </w:rPr>
        <w:t xml:space="preserve">    disponibilidad = mock_disponibilidad()                 # doble del puerto de proveedores</w:t>
        <w:br/>
      </w:r>
      <w:r>
        <w:rPr>
          <w:rFonts w:ascii="Consolas" w:hAnsi="Consolas" w:eastAsia="Consolas"/>
          <w:sz w:val="17"/>
        </w:rPr>
        <w:t xml:space="preserve">    f = contratado(disponibilidad=disponibilidad)</w:t>
        <w:br/>
      </w:r>
      <w:r>
        <w:rPr>
          <w:rFonts w:ascii="Consolas" w:hAnsi="Consolas" w:eastAsia="Consolas"/>
          <w:sz w:val="17"/>
        </w:rPr>
        <w:t xml:space="preserve">    dia = datetime(2026, 11, 16, 0, 0)                     # cuatro días naturales antes del evento</w:t>
        <w:br/>
      </w:r>
      <w:r>
        <w:rPr>
          <w:rFonts w:ascii="Consolas" w:hAnsi="Consolas" w:eastAsia="Consolas"/>
          <w:sz w:val="17"/>
        </w:rPr>
        <w:t xml:space="preserve">    r = f.s.adicionales.registrar_solicitud_servicio_adicional(f.evento_id, f.contrato_id, 'DJ', dia)</w:t>
        <w:br/>
      </w:r>
      <w:r>
        <w:rPr>
          <w:rFonts w:ascii="Consolas" w:hAnsi="Consolas" w:eastAsia="Consolas"/>
          <w:sz w:val="17"/>
        </w:rPr>
        <w:t xml:space="preserve">    s = _solicitud(f, r.datos['solicitud_id'])</w:t>
        <w:br/>
      </w:r>
      <w:r>
        <w:rPr>
          <w:rFonts w:ascii="Consolas" w:hAnsi="Consolas" w:eastAsia="Consolas"/>
          <w:sz w:val="17"/>
        </w:rPr>
        <w:t xml:space="preserve">    assert s.estado == ESA.NO_PROCEDENTE</w:t>
        <w:br/>
      </w:r>
      <w:r>
        <w:rPr>
          <w:rFonts w:ascii="Consolas" w:hAnsi="Consolas" w:eastAsia="Consolas"/>
          <w:sz w:val="17"/>
        </w:rPr>
        <w:t xml:space="preserve">    assert s.motivo_cierre.causa == CausaCierreSolicitud.PLAZO_INSUFICIENTE</w:t>
        <w:br/>
      </w:r>
      <w:r>
        <w:rPr>
          <w:rFonts w:ascii="Consolas" w:hAnsi="Consolas" w:eastAsia="Consolas"/>
          <w:sz w:val="17"/>
        </w:rPr>
        <w:t xml:space="preserve">    disponibilidad.consultar.assert_not_called()           # CA-083: no continúa con la búsqueda</w:t>
      </w:r>
    </w:p>
    <w:p>
      <w:pPr>
        <w:spacing w:before="0" w:after="120" w:line="276" w:lineRule="auto"/>
        <w:jc w:val="both"/>
      </w:pPr>
      <w:r>
        <w:rPr>
          <w:b/>
        </w:rPr>
        <w:t>Persistencia y mocks.</w:t>
      </w:r>
      <w:r>
        <w:t xml:space="preserve"> PIA-17 y PIA-18 ejecutan el caso con la composición persistente y lo leen desde otro contenedor, como si la aplicación se hubiera reiniciado. PIA-19 guarda una solicitud y revierte la unidad de trabajo, y guarda otra y la confirma: solo la segunda existe en PostgreSQL. PIA-20 sustituye el verificador de pagos (la verificación bancaria) con un mock que primero rechaza y luego aprueba, y PIA-21 comprueba que primero se consulta a los proveedores actuales y después a las alternativas.</w:t>
      </w:r>
    </w:p>
    <w:p>
      <w:pPr>
        <w:spacing w:before="0" w:after="120" w:line="276" w:lineRule="auto"/>
      </w:pPr>
      <w:r>
        <w:rPr>
          <w:b/>
        </w:rPr>
        <w:t>Hallazgo U5-H1 y su corrección.</w:t>
      </w:r>
      <w:r>
        <w:t xml:space="preserve"> En la primera sesión PIA-03b quedó como </w:t>
      </w:r>
      <w:r>
        <w:rPr>
          <w:rFonts w:ascii="Consolas" w:hAnsi="Consolas" w:eastAsia="Consolas"/>
          <w:sz w:val="18"/>
        </w:rPr>
        <w:t>xfail</w:t>
      </w:r>
      <w:r>
        <w:t xml:space="preserve">: al reintentar la evaluación de una solicitud que ya era No procedente, el servicio consultaba al proveedor externo antes de que el dominio la rechazara, aunque CA-083 indica no continuar con la búsqueda. En la segunda sesión quitamos el </w:t>
      </w:r>
      <w:r>
        <w:rPr>
          <w:rFonts w:ascii="Consolas" w:hAnsi="Consolas" w:eastAsia="Consolas"/>
          <w:sz w:val="18"/>
        </w:rPr>
        <w:t>xfail</w:t>
      </w:r>
      <w:r>
        <w:t xml:space="preserve"> y la prueba falló por esa causa (RED, E9_11). Agregamos </w:t>
      </w:r>
      <w:r>
        <w:rPr>
          <w:rFonts w:ascii="Consolas" w:hAnsi="Consolas" w:eastAsia="Consolas"/>
          <w:sz w:val="18"/>
        </w:rPr>
        <w:t>motivo_rechazo_registro_disponibilidad()</w:t>
      </w:r>
      <w:r>
        <w:t xml:space="preserve"> en </w:t>
      </w:r>
      <w:r>
        <w:rPr>
          <w:rFonts w:ascii="Consolas" w:hAnsi="Consolas" w:eastAsia="Consolas"/>
          <w:sz w:val="18"/>
        </w:rPr>
        <w:t>SolicitudServicioAdicional</w:t>
      </w:r>
      <w:r>
        <w:t xml:space="preserve">, que usa la misma máquina de estados y el mismo mensaje, y el servicio rechaza antes de la consulta: la prueba pasó (GREEN, E9_12). La corrección está aplicada </w:t>
      </w:r>
      <w:r>
        <w:rPr>
          <w:b/>
        </w:rPr>
        <w:t>solo en la copia</w:t>
      </w:r>
      <w:r>
        <w:t xml:space="preserve"> incluida en el ZIP; el parche </w:t>
      </w:r>
      <w:r>
        <w:rPr>
          <w:rFonts w:ascii="Consolas" w:hAnsi="Consolas" w:eastAsia="Consolas"/>
          <w:sz w:val="18"/>
        </w:rPr>
        <w:t>PARCHE_U5H1_consulta_proveedores.patch</w:t>
      </w:r>
      <w:r>
        <w:t xml:space="preserve"> queda para que el equipo decida si lo lleva a su repositorio.</w:t>
      </w:r>
    </w:p>
    <w:p>
      <w:pPr>
        <w:spacing w:before="0" w:after="120" w:line="276" w:lineRule="auto"/>
        <w:jc w:val="both"/>
      </w:pPr>
      <w:r>
        <w:rPr>
          <w:b/>
        </w:rPr>
        <w:t>Resultado (28/10/2026).</w:t>
      </w:r>
      <w:r>
        <w:t xml:space="preserve"> 22 pruebas aprobadas, Ruff sin errores. Las pruebas de PostgreSQL corrieron con </w:t>
      </w:r>
      <w:r>
        <w:rPr>
          <w:rFonts w:ascii="Consolas" w:hAnsi="Consolas" w:eastAsia="Consolas"/>
          <w:sz w:val="18"/>
        </w:rPr>
        <w:t>EVENTOSNOVA_REQUIERE_BD=1</w:t>
      </w:r>
      <w:r>
        <w:t xml:space="preserve">, que convierte la falta de base en fallo, así que no se omitieron; sin PostgreSQL, 19 se ejecutan y 3 se omiten. La cobertura de </w:t>
      </w:r>
      <w:r>
        <w:rPr>
          <w:rFonts w:ascii="Consolas" w:hAnsi="Consolas" w:eastAsia="Consolas"/>
          <w:sz w:val="18"/>
        </w:rPr>
        <w:t>src/</w:t>
      </w:r>
      <w:r>
        <w:t xml:space="preserve"> con solo </w:t>
      </w:r>
      <w:r>
        <w:rPr>
          <w:rFonts w:ascii="Consolas" w:hAnsi="Consolas" w:eastAsia="Consolas"/>
          <w:sz w:val="18"/>
        </w:rPr>
        <w:t>tests_u5</w:t>
      </w:r>
      <w:r>
        <w:t xml:space="preserve"> es 50.4 %, lo esperable para 22 pruebas enfocadas en cuatro reglas. Con la suite del equipo más </w:t>
      </w:r>
      <w:r>
        <w:rPr>
          <w:rFonts w:ascii="Consolas" w:hAnsi="Consolas" w:eastAsia="Consolas"/>
          <w:sz w:val="18"/>
        </w:rPr>
        <w:t>tests_u5</w:t>
      </w:r>
      <w:r>
        <w:t xml:space="preserve"> la cobertura de sentencias es 98.83 % y la de ramas 95.86 %. La suite del equipo conserva sus 1 306 pruebas con el mismo único fallo de entorno que antes de la corrección (E9_13).</w:t>
      </w:r>
    </w:p>
    <w:p>
      <w:pPr>
        <w:keepNext/>
        <w:spacing w:before="160" w:after="60" w:line="276" w:lineRule="auto"/>
        <w:jc w:val="center"/>
      </w:pPr>
      <w:r>
        <w:rPr>
          <w:b/>
          <w:sz w:val="19"/>
        </w:rPr>
        <w:t xml:space="preserve">Tabla 5. </w:t>
      </w:r>
      <w:r>
        <w:rPr>
          <w:sz w:val="19"/>
        </w:rPr>
        <w:t>Diferencias entre la guía de la actividad y la documentación aprobada de Eventos Nova</w:t>
      </w:r>
    </w:p>
    <w:tbl>
      <w:tblPr>
        <w:tblStyle w:val="Tabladecuadrcula4-nfasis11"/>
        <w:tblW w:type="dxa" w:w="9865"/>
        <w:jc w:val="center"/>
        <w:tblLayout w:type="fixed"/>
        <w:tblLook w:firstColumn="1" w:firstRow="1" w:lastColumn="0" w:lastRow="0" w:noHBand="0" w:noVBand="1" w:val="04A0"/>
        <w:tblLayout w:type="fixed"/>
      </w:tblPr>
      <w:tblGrid>
        <w:gridCol w:w="2721"/>
        <w:gridCol w:w="4309"/>
        <w:gridCol w:w="2835"/>
      </w:tblGrid>
      <w:tr>
        <w:trPr>
          <w:tblHeader w:val="true"/>
          <w:cantSplit w:val="true"/>
        </w:trPr>
        <w:tc>
          <w:tcPr>
            <w:tcW w:type="dxa" w:w="2721"/>
          </w:tcPr>
          <w:p>
            <w:pPr>
              <w:keepNext/>
              <w:jc w:val="center"/>
            </w:pPr>
            <w:r/>
            <w:r>
              <w:rPr>
                <w:b/>
                <w:sz w:val="17"/>
              </w:rPr>
              <w:t>Punto de la guía</w:t>
            </w:r>
          </w:p>
        </w:tc>
        <w:tc>
          <w:tcPr>
            <w:tcW w:type="dxa" w:w="4309"/>
          </w:tcPr>
          <w:p>
            <w:pPr>
              <w:keepNext/>
              <w:jc w:val="center"/>
            </w:pPr>
            <w:r/>
            <w:r>
              <w:rPr>
                <w:b/>
                <w:sz w:val="17"/>
              </w:rPr>
              <w:t>Documentación aprobada</w:t>
            </w:r>
          </w:p>
        </w:tc>
        <w:tc>
          <w:tcPr>
            <w:tcW w:type="dxa" w:w="2835"/>
          </w:tcPr>
          <w:p>
            <w:pPr>
              <w:keepNext/>
              <w:jc w:val="center"/>
            </w:pPr>
            <w:r/>
            <w:r>
              <w:rPr>
                <w:b/>
                <w:sz w:val="17"/>
              </w:rPr>
              <w:t>Decisión</w:t>
            </w:r>
          </w:p>
        </w:tc>
      </w:tr>
      <w:tr>
        <w:trPr>
          <w:cantSplit w:val="true"/>
        </w:trPr>
        <w:tc>
          <w:tcPr>
            <w:tcW w:type="dxa" w:w="2721"/>
          </w:tcPr>
          <w:p>
            <w:pPr>
              <w:keepNext/>
              <w:spacing w:after="20"/>
            </w:pPr>
            <w:r/>
            <w:r>
              <w:rPr>
                <w:sz w:val="17"/>
              </w:rPr>
              <w:t>Anticipo del 30 %</w:t>
            </w:r>
          </w:p>
        </w:tc>
        <w:tc>
          <w:tcPr>
            <w:tcW w:type="dxa" w:w="4309"/>
          </w:tcPr>
          <w:p>
            <w:pPr>
              <w:keepNext/>
              <w:spacing w:after="20"/>
            </w:pPr>
            <w:r/>
            <w:r>
              <w:rPr>
                <w:sz w:val="17"/>
              </w:rPr>
              <w:t>Como mínimo el 30 % (BN-009, CA-019, decisión B)</w:t>
            </w:r>
          </w:p>
        </w:tc>
        <w:tc>
          <w:tcPr>
            <w:tcW w:type="dxa" w:w="2835"/>
          </w:tcPr>
          <w:p>
            <w:pPr>
              <w:keepNext/>
              <w:spacing w:after="20"/>
            </w:pPr>
            <w:r/>
            <w:r>
              <w:rPr>
                <w:sz w:val="17"/>
              </w:rPr>
              <w:t>Se prueba como mínimo (PIA-06, PIA-07)</w:t>
            </w:r>
          </w:p>
        </w:tc>
      </w:tr>
      <w:tr>
        <w:trPr>
          <w:cantSplit w:val="true"/>
        </w:trPr>
        <w:tc>
          <w:tcPr>
            <w:tcW w:type="dxa" w:w="2721"/>
          </w:tcPr>
          <w:p>
            <w:pPr>
              <w:keepNext/>
              <w:spacing w:after="20"/>
            </w:pPr>
            <w:r/>
            <w:r>
              <w:rPr>
                <w:sz w:val="17"/>
              </w:rPr>
              <w:t>Pago final siete días antes del evento</w:t>
            </w:r>
          </w:p>
        </w:tc>
        <w:tc>
          <w:tcPr>
            <w:tcW w:type="dxa" w:w="4309"/>
          </w:tcPr>
          <w:p>
            <w:pPr>
              <w:keepNext/>
              <w:spacing w:after="20"/>
            </w:pPr>
            <w:r/>
            <w:r>
              <w:rPr>
                <w:sz w:val="17"/>
              </w:rPr>
              <w:t>Saldo tres días hábiles antes (BN-005)</w:t>
            </w:r>
          </w:p>
        </w:tc>
        <w:tc>
          <w:tcPr>
            <w:tcW w:type="dxa" w:w="2835"/>
          </w:tcPr>
          <w:p>
            <w:pPr>
              <w:keepNext/>
              <w:spacing w:after="20"/>
            </w:pPr>
            <w:r/>
            <w:r>
              <w:rPr>
                <w:sz w:val="17"/>
              </w:rPr>
              <w:t>No se prueba la regla de la guía</w:t>
            </w:r>
          </w:p>
        </w:tc>
      </w:tr>
      <w:tr>
        <w:trPr>
          <w:cantSplit w:val="true"/>
        </w:trPr>
        <w:tc>
          <w:tcPr>
            <w:tcW w:type="dxa" w:w="2721"/>
          </w:tcPr>
          <w:p>
            <w:pPr>
              <w:keepNext/>
              <w:spacing w:after="20"/>
            </w:pPr>
            <w:r/>
            <w:r>
              <w:rPr>
                <w:sz w:val="17"/>
              </w:rPr>
              <w:t>Cambio con &lt; 7 días: «cargo fijo»</w:t>
            </w:r>
          </w:p>
        </w:tc>
        <w:tc>
          <w:tcPr>
            <w:tcW w:type="dxa" w:w="4309"/>
          </w:tcPr>
          <w:p>
            <w:pPr>
              <w:keepNext/>
              <w:spacing w:after="20"/>
            </w:pPr>
            <w:r/>
            <w:r>
              <w:rPr>
                <w:sz w:val="17"/>
              </w:rPr>
              <w:t>Cargo según la tarifa vigente al registrar, solo si el cambio es viable, aceptado y realizado (SE-003, SE-005, GL-025)</w:t>
            </w:r>
          </w:p>
        </w:tc>
        <w:tc>
          <w:tcPr>
            <w:tcW w:type="dxa" w:w="2835"/>
          </w:tcPr>
          <w:p>
            <w:pPr>
              <w:keepNext/>
              <w:spacing w:after="20"/>
            </w:pPr>
            <w:r/>
            <w:r>
              <w:rPr>
                <w:sz w:val="17"/>
              </w:rPr>
              <w:t>La tarifa es un dato; 500.00 es ejemplo</w:t>
            </w:r>
          </w:p>
        </w:tc>
      </w:tr>
      <w:tr>
        <w:trPr>
          <w:cantSplit w:val="true"/>
        </w:trPr>
        <w:tc>
          <w:tcPr>
            <w:tcW w:type="dxa" w:w="2721"/>
          </w:tcPr>
          <w:p>
            <w:pPr>
              <w:keepNext/>
              <w:spacing w:after="20"/>
            </w:pPr>
            <w:r/>
            <w:r>
              <w:rPr>
                <w:sz w:val="17"/>
              </w:rPr>
              <w:t>Administración autoriza «cuando corresponda»</w:t>
            </w:r>
          </w:p>
        </w:tc>
        <w:tc>
          <w:tcPr>
            <w:tcW w:type="dxa" w:w="4309"/>
          </w:tcPr>
          <w:p>
            <w:pPr>
              <w:keepNext/>
              <w:spacing w:after="20"/>
            </w:pPr>
            <w:r/>
            <w:r>
              <w:rPr>
                <w:sz w:val="17"/>
              </w:rPr>
              <w:t>Autorización obligatoria del servicio adicional tras la aprobación del Cliente (BN-004)</w:t>
            </w:r>
          </w:p>
        </w:tc>
        <w:tc>
          <w:tcPr>
            <w:tcW w:type="dxa" w:w="2835"/>
          </w:tcPr>
          <w:p>
            <w:pPr>
              <w:keepNext/>
              <w:spacing w:after="20"/>
            </w:pPr>
            <w:r/>
            <w:r>
              <w:rPr>
                <w:sz w:val="17"/>
              </w:rPr>
              <w:t>Se sigue el BRD</w:t>
            </w:r>
          </w:p>
        </w:tc>
      </w:tr>
      <w:tr>
        <w:trPr>
          <w:cantSplit w:val="true"/>
        </w:trPr>
        <w:tc>
          <w:tcPr>
            <w:tcW w:type="dxa" w:w="2721"/>
          </w:tcPr>
          <w:p>
            <w:pPr>
              <w:keepNext/>
              <w:spacing w:after="20"/>
            </w:pPr>
            <w:r/>
            <w:r>
              <w:rPr>
                <w:sz w:val="17"/>
              </w:rPr>
              <w:t>Saldo vencido «antes de procesar» un servicio adicional</w:t>
            </w:r>
          </w:p>
        </w:tc>
        <w:tc>
          <w:tcPr>
            <w:tcW w:type="dxa" w:w="4309"/>
          </w:tcPr>
          <w:p>
            <w:pPr>
              <w:keepNext/>
              <w:spacing w:after="20"/>
            </w:pPr>
            <w:r/>
            <w:r>
              <w:rPr>
                <w:sz w:val="17"/>
              </w:rPr>
              <w:t>Se verifica al final: evento → plazo → saldo (SE-004, GL-015)</w:t>
            </w:r>
          </w:p>
        </w:tc>
        <w:tc>
          <w:tcPr>
            <w:tcW w:type="dxa" w:w="2835"/>
          </w:tcPr>
          <w:p>
            <w:pPr>
              <w:keepNext/>
              <w:spacing w:after="20"/>
            </w:pPr>
            <w:r/>
            <w:r>
              <w:rPr>
                <w:sz w:val="17"/>
              </w:rPr>
              <w:t>Se prueba el orden aprobado (PIA-04)</w:t>
            </w:r>
          </w:p>
        </w:tc>
      </w:tr>
      <w:tr>
        <w:trPr>
          <w:cantSplit w:val="true"/>
        </w:trPr>
        <w:tc>
          <w:tcPr>
            <w:tcW w:type="dxa" w:w="2721"/>
          </w:tcPr>
          <w:p>
            <w:pPr>
              <w:spacing w:after="20"/>
            </w:pPr>
            <w:r/>
            <w:r>
              <w:rPr>
                <w:sz w:val="17"/>
              </w:rPr>
              <w:t>«No reembolso»</w:t>
            </w:r>
          </w:p>
        </w:tc>
        <w:tc>
          <w:tcPr>
            <w:tcW w:type="dxa" w:w="4309"/>
          </w:tcPr>
          <w:p>
            <w:pPr>
              <w:spacing w:after="20"/>
            </w:pPr>
            <w:r/>
            <w:r>
              <w:rPr>
                <w:sz w:val="17"/>
              </w:rPr>
              <w:t>Política incluida y comunicada (BN-009); existen dos devoluciones aprobadas (SE-012 y decisión A)</w:t>
            </w:r>
          </w:p>
        </w:tc>
        <w:tc>
          <w:tcPr>
            <w:tcW w:type="dxa" w:w="2835"/>
          </w:tcPr>
          <w:p>
            <w:pPr>
              <w:spacing w:after="20"/>
            </w:pPr>
            <w:r/>
            <w:r>
              <w:rPr>
                <w:sz w:val="17"/>
              </w:rPr>
              <w:t>Las devoluciones no se prueban en U5</w:t>
            </w:r>
          </w:p>
        </w:tc>
      </w:tr>
    </w:tbl>
    <w:p>
      <w:pPr>
        <w:spacing w:before="0" w:after="40" w:line="276" w:lineRule="auto"/>
        <w:jc w:val="both"/>
      </w:pPr>
    </w:p>
    <w:p>
      <w:pPr>
        <w:keepNext/>
        <w:spacing w:before="120"/>
        <w:jc w:val="center"/>
      </w:pPr>
      <w:r>
        <w:drawing>
          <wp:inline xmlns:a="http://schemas.openxmlformats.org/drawingml/2006/main" xmlns:pic="http://schemas.openxmlformats.org/drawingml/2006/picture">
            <wp:extent cx="5940000" cy="2713706"/>
            <wp:docPr id="15" name="Picture 15"/>
            <wp:cNvGraphicFramePr>
              <a:graphicFrameLocks noChangeAspect="1"/>
            </wp:cNvGraphicFramePr>
            <a:graphic>
              <a:graphicData uri="http://schemas.openxmlformats.org/drawingml/2006/picture">
                <pic:pic>
                  <pic:nvPicPr>
                    <pic:cNvPr id="0" name="E9_09_diagnostico_v1_ModuleNotFoundError_20261028_l1-24.png"/>
                    <pic:cNvPicPr/>
                  </pic:nvPicPr>
                  <pic:blipFill>
                    <a:blip r:embed="rId32"/>
                    <a:stretch>
                      <a:fillRect/>
                    </a:stretch>
                  </pic:blipFill>
                  <pic:spPr>
                    <a:xfrm>
                      <a:off x="0" y="0"/>
                      <a:ext cx="5940000" cy="2713706"/>
                    </a:xfrm>
                    <a:prstGeom prst="rect"/>
                  </pic:spPr>
                </pic:pic>
              </a:graphicData>
            </a:graphic>
          </wp:inline>
        </w:drawing>
      </w:r>
    </w:p>
    <w:p>
      <w:pPr>
        <w:spacing w:before="80" w:after="120" w:line="276" w:lineRule="auto"/>
        <w:jc w:val="center"/>
      </w:pPr>
      <w:r>
        <w:rPr>
          <w:b/>
          <w:sz w:val="19"/>
        </w:rPr>
        <w:t xml:space="preserve">Figura 15. </w:t>
      </w:r>
      <w:r>
        <w:rPr>
          <w:sz w:val="19"/>
        </w:rPr>
        <w:t xml:space="preserve">Diagnóstico del ZIP v1: los cinco archivos de </w:t>
      </w:r>
      <w:r>
        <w:rPr>
          <w:rFonts w:ascii="Consolas" w:hAnsi="Consolas" w:eastAsia="Consolas"/>
          <w:sz w:val="18"/>
        </w:rPr>
        <w:t>tests_u5</w:t>
      </w:r>
      <w:r>
        <w:rPr>
          <w:sz w:val="19"/>
        </w:rPr>
        <w:t xml:space="preserve"> fallan al recopilarse porque el paquete no incluía el código del PIA (E9, 28/10/2026).</w:t>
      </w:r>
    </w:p>
    <w:p>
      <w:pPr>
        <w:keepNext/>
        <w:spacing w:before="120"/>
        <w:jc w:val="center"/>
      </w:pPr>
      <w:r>
        <w:drawing>
          <wp:inline xmlns:a="http://schemas.openxmlformats.org/drawingml/2006/main" xmlns:pic="http://schemas.openxmlformats.org/drawingml/2006/picture">
            <wp:extent cx="5940000" cy="3614924"/>
            <wp:docPr id="16" name="Picture 16"/>
            <wp:cNvGraphicFramePr>
              <a:graphicFrameLocks noChangeAspect="1"/>
            </wp:cNvGraphicFramePr>
            <a:graphic>
              <a:graphicData uri="http://schemas.openxmlformats.org/drawingml/2006/picture">
                <pic:pic>
                  <pic:nvPicPr>
                    <pic:cNvPr id="0" name="E9_11_U5H1_RED_sin_xfail_20261028_l16-48.png"/>
                    <pic:cNvPicPr/>
                  </pic:nvPicPr>
                  <pic:blipFill>
                    <a:blip r:embed="rId33"/>
                    <a:stretch>
                      <a:fillRect/>
                    </a:stretch>
                  </pic:blipFill>
                  <pic:spPr>
                    <a:xfrm>
                      <a:off x="0" y="0"/>
                      <a:ext cx="5940000" cy="3614924"/>
                    </a:xfrm>
                    <a:prstGeom prst="rect"/>
                  </pic:spPr>
                </pic:pic>
              </a:graphicData>
            </a:graphic>
          </wp:inline>
        </w:drawing>
      </w:r>
    </w:p>
    <w:p>
      <w:pPr>
        <w:spacing w:before="80" w:after="120" w:line="276" w:lineRule="auto"/>
        <w:jc w:val="center"/>
      </w:pPr>
      <w:r>
        <w:rPr>
          <w:b/>
          <w:sz w:val="19"/>
        </w:rPr>
        <w:t xml:space="preserve">Figura 16. </w:t>
      </w:r>
      <w:r>
        <w:rPr>
          <w:sz w:val="19"/>
        </w:rPr>
        <w:t xml:space="preserve">RED de U5-H1: sin </w:t>
      </w:r>
      <w:r>
        <w:rPr>
          <w:rFonts w:ascii="Consolas" w:hAnsi="Consolas" w:eastAsia="Consolas"/>
          <w:sz w:val="18"/>
        </w:rPr>
        <w:t>xfail</w:t>
      </w:r>
      <w:r>
        <w:rPr>
          <w:sz w:val="19"/>
        </w:rPr>
        <w:t>, PIA-03b falla porque el mock del proveedor se llamó una vez (E9, 28/10/2026).</w:t>
      </w:r>
    </w:p>
    <w:p>
      <w:pPr>
        <w:keepNext/>
        <w:spacing w:before="120"/>
        <w:jc w:val="center"/>
      </w:pPr>
      <w:r>
        <w:drawing>
          <wp:inline xmlns:a="http://schemas.openxmlformats.org/drawingml/2006/main" xmlns:pic="http://schemas.openxmlformats.org/drawingml/2006/picture">
            <wp:extent cx="5940000" cy="3343553"/>
            <wp:docPr id="17" name="Picture 17"/>
            <wp:cNvGraphicFramePr>
              <a:graphicFrameLocks noChangeAspect="1"/>
            </wp:cNvGraphicFramePr>
            <a:graphic>
              <a:graphicData uri="http://schemas.openxmlformats.org/drawingml/2006/picture">
                <pic:pic>
                  <pic:nvPicPr>
                    <pic:cNvPr id="0" name="E9_15_pytest_tests_u5_20261028.png"/>
                    <pic:cNvPicPr/>
                  </pic:nvPicPr>
                  <pic:blipFill>
                    <a:blip r:embed="rId34"/>
                    <a:stretch>
                      <a:fillRect/>
                    </a:stretch>
                  </pic:blipFill>
                  <pic:spPr>
                    <a:xfrm>
                      <a:off x="0" y="0"/>
                      <a:ext cx="5940000" cy="3343553"/>
                    </a:xfrm>
                    <a:prstGeom prst="rect"/>
                  </pic:spPr>
                </pic:pic>
              </a:graphicData>
            </a:graphic>
          </wp:inline>
        </w:drawing>
      </w:r>
    </w:p>
    <w:p>
      <w:pPr>
        <w:spacing w:before="80" w:after="120" w:line="276" w:lineRule="auto"/>
        <w:jc w:val="center"/>
      </w:pPr>
      <w:r>
        <w:rPr>
          <w:b/>
          <w:sz w:val="19"/>
        </w:rPr>
        <w:t xml:space="preserve">Figura 17. </w:t>
      </w:r>
      <w:r>
        <w:rPr>
          <w:sz w:val="19"/>
        </w:rPr>
        <w:t>Pruebas U5 sobre el código real de Eventos Nova después de la corrección: 22 aprobadas (E9, 28/10/2026).</w:t>
      </w:r>
    </w:p>
    <w:p>
      <w:pPr>
        <w:pStyle w:val="Ttulo2"/>
        <w:keepNext/>
      </w:pPr>
      <w:r>
        <w:t>1.11 Uso responsable de IA</w:t>
      </w:r>
    </w:p>
    <w:p>
      <w:pPr>
        <w:spacing w:before="0" w:after="120" w:line="276" w:lineRule="auto"/>
        <w:jc w:val="both"/>
      </w:pPr>
      <w:r>
        <w:t>Usamos Claude (Anthropic) con acceso a archivos y terminal en dos sesiones: el 27/10 con las instrucciones de la actividad y el 28/10 con el documento de revisión correctiva. La bitácora formal (</w:t>
      </w:r>
      <w:r>
        <w:rPr>
          <w:rFonts w:ascii="Consolas" w:hAnsi="Consolas" w:eastAsia="Consolas"/>
          <w:sz w:val="18"/>
        </w:rPr>
        <w:t>docs/BITACORA_IA_ACTIVIDAD5.docx</w:t>
      </w:r>
      <w:r>
        <w:t xml:space="preserve">, con su versión en </w:t>
      </w:r>
      <w:r>
        <w:rPr>
          <w:rFonts w:ascii="Consolas" w:hAnsi="Consolas" w:eastAsia="Consolas"/>
          <w:sz w:val="18"/>
        </w:rPr>
        <w:t>bitacora_uso_IA.md</w:t>
      </w:r>
      <w:r>
        <w:t>) registra las iteraciones, las propuestas aceptadas, corregidas y rechazadas, sus pruebas y las decisiones que el equipo debe aprobar. La primera sesión se reconstruye a partir de los registros; no se presenta como una transcripción literal. No usamos el prompt sugerido de la guía y no hubo otras consultas.</w:t>
      </w:r>
    </w:p>
    <w:p>
      <w:pPr>
        <w:spacing w:before="0" w:after="120" w:line="276" w:lineRule="auto"/>
      </w:pPr>
      <w:r>
        <w:t xml:space="preserve">Dos ejemplos de sugerencias corregidas. La IA escribió una prueba, </w:t>
      </w:r>
      <w:r>
        <w:rPr>
          <w:rFonts w:ascii="Consolas" w:hAnsi="Consolas" w:eastAsia="Consolas"/>
          <w:sz w:val="18"/>
        </w:rPr>
        <w:t>test_el_servicio_no_recibe_la_deuda_del_cliente</w:t>
      </w:r>
      <w:r>
        <w:t xml:space="preserve">, que solo confirmaba un pedido con la pasarela simulada: no verificaba ninguna regla y la descartamos. En PIA-13 propuso la aserción </w:t>
      </w:r>
      <w:r>
        <w:rPr>
          <w:rFonts w:ascii="Consolas" w:hAnsi="Consolas" w:eastAsia="Consolas"/>
          <w:sz w:val="18"/>
        </w:rPr>
        <w:t>assert … == [] if hasattr(…) else True</w:t>
      </w:r>
      <w:r>
        <w:t xml:space="preserve">, que podía pasar sin comprobar nada; la reemplazamos por </w:t>
      </w:r>
      <w:r>
        <w:rPr>
          <w:rFonts w:ascii="Consolas" w:hAnsi="Consolas" w:eastAsia="Consolas"/>
          <w:sz w:val="18"/>
        </w:rPr>
        <w:t>assert … == []</w:t>
      </w:r>
      <w:r>
        <w:t xml:space="preserve">. También rechazamos la lista inicial de reglas de la guía cuando no coincidía con el BRD (Tabla 5). En la segunda sesión, el primer comentario de la corrección U5-H1 citaba «CA-083» y el generador de trazabilidad del equipo lo incorporó a su documento, por lo que </w:t>
      </w:r>
      <w:r>
        <w:rPr>
          <w:rFonts w:ascii="Consolas" w:hAnsi="Consolas" w:eastAsia="Consolas"/>
          <w:sz w:val="18"/>
        </w:rPr>
        <w:t>test_trazabilidad_api</w:t>
      </w:r>
      <w:r>
        <w:t xml:space="preserve"> falló; se retiró la cita. La columna de revisión de cada integrante en la bitácora está pendiente y debe completarse antes de entregar.</w:t>
      </w:r>
    </w:p>
    <w:p>
      <w:pPr>
        <w:pStyle w:val="Ttulo1"/>
        <w:keepNext/>
      </w:pPr>
      <w:r>
        <w:t>2. Ejemplos de funcionamiento</w:t>
      </w:r>
    </w:p>
    <w:p>
      <w:pPr>
        <w:spacing w:before="0" w:after="120" w:line="276" w:lineRule="auto"/>
        <w:jc w:val="both"/>
      </w:pPr>
      <w:r>
        <w:rPr>
          <w:b/>
        </w:rPr>
        <w:t>Pedido VIP con pago rechazado (laboratorio).</w:t>
      </w:r>
      <w:r>
        <w:t xml:space="preserve"> Un pedido VIP de 200 se envía a </w:t>
      </w:r>
      <w:r>
        <w:rPr>
          <w:rFonts w:ascii="Consolas" w:hAnsi="Consolas" w:eastAsia="Consolas"/>
          <w:sz w:val="18"/>
        </w:rPr>
        <w:t>checkout()</w:t>
      </w:r>
      <w:r>
        <w:t xml:space="preserve"> con la pasarela simulada respondiendo </w:t>
      </w:r>
      <w:r>
        <w:rPr>
          <w:rFonts w:ascii="Consolas" w:hAnsi="Consolas" w:eastAsia="Consolas"/>
          <w:sz w:val="18"/>
        </w:rPr>
        <w:t>False</w:t>
      </w:r>
      <w:r>
        <w:t xml:space="preserve">. El mock registra una llamada con 170 (200 menos el 15 %) y el servicio lanza </w:t>
      </w:r>
      <w:r>
        <w:rPr>
          <w:rFonts w:ascii="Consolas" w:hAnsi="Consolas" w:eastAsia="Consolas"/>
          <w:sz w:val="18"/>
        </w:rPr>
        <w:t>RuntimeError("payment rejected")</w:t>
      </w:r>
      <w:r>
        <w:t xml:space="preserve">. El pedido queda </w:t>
      </w:r>
      <w:r>
        <w:rPr>
          <w:rFonts w:ascii="Consolas" w:hAnsi="Consolas" w:eastAsia="Consolas"/>
          <w:sz w:val="18"/>
        </w:rPr>
        <w:t>CONFIRMED</w:t>
      </w:r>
      <w:r>
        <w:t>, que es el riesgo de la sección 1.6.</w:t>
      </w:r>
    </w:p>
    <w:p>
      <w:pPr>
        <w:spacing w:before="0" w:after="120" w:line="276" w:lineRule="auto"/>
        <w:jc w:val="both"/>
      </w:pPr>
      <w:r>
        <w:rPr>
          <w:b/>
        </w:rPr>
        <w:t>Propietario a las 24 horas (laboratorio).</w:t>
      </w:r>
      <w:r>
        <w:t xml:space="preserve"> Un pedido creado el 01/10/2026 a las 10:00 se intenta cancelar el 02/10 a las 10:00. </w:t>
      </w:r>
      <w:r>
        <w:rPr>
          <w:rFonts w:ascii="Consolas" w:hAnsi="Consolas" w:eastAsia="Consolas"/>
          <w:sz w:val="18"/>
        </w:rPr>
        <w:t>can_cancel()</w:t>
      </w:r>
      <w:r>
        <w:t xml:space="preserve"> devuelve </w:t>
      </w:r>
      <w:r>
        <w:rPr>
          <w:rFonts w:ascii="Consolas" w:hAnsi="Consolas" w:eastAsia="Consolas"/>
          <w:sz w:val="18"/>
        </w:rPr>
        <w:t>False</w:t>
      </w:r>
      <w:r>
        <w:t xml:space="preserve">; un segundo antes devuelve </w:t>
      </w:r>
      <w:r>
        <w:rPr>
          <w:rFonts w:ascii="Consolas" w:hAnsi="Consolas" w:eastAsia="Consolas"/>
          <w:sz w:val="18"/>
        </w:rPr>
        <w:t>True</w:t>
      </w:r>
      <w:r>
        <w:t>.</w:t>
      </w:r>
    </w:p>
    <w:p>
      <w:pPr>
        <w:spacing w:before="0" w:after="120" w:line="276" w:lineRule="auto"/>
        <w:jc w:val="both"/>
      </w:pPr>
      <w:r>
        <w:rPr>
          <w:b/>
        </w:rPr>
        <w:t>Anticipo de 2 999.99 (Eventos Nova).</w:t>
      </w:r>
      <w:r>
        <w:t xml:space="preserve"> Con un costo de 10 000.00, el pago de 2 999.99 queda verificado como pago parcial, el anticipo sigue Pendiente y el contrato sigue Firmado. Al registrar 0.01 más el anticipo se liquida y la contratación se confirma.</w:t>
      </w:r>
    </w:p>
    <w:p>
      <w:pPr>
        <w:spacing w:before="0" w:after="120" w:line="276" w:lineRule="auto"/>
        <w:jc w:val="both"/>
      </w:pPr>
      <w:r>
        <w:rPr>
          <w:b/>
        </w:rPr>
        <w:t>Cambio tardío (Eventos Nova).</w:t>
      </w:r>
      <w:r>
        <w:t xml:space="preserve"> Un cambio pedido el 14/11/2026 a las 18:00 para un evento del 20/11 a las 18:00 tiene seis días naturales: al comunicar la solicitud de pago se crean dos obligaciones independientes, el cargo por cambio tardío (500.00) y el costo del proveedor (800.00). El mismo cambio pedido el 13/11 solo genera el costo del proveedor.</w:t>
      </w:r>
    </w:p>
    <w:p>
      <w:pPr>
        <w:pStyle w:val="Ttulo1"/>
        <w:keepNext/>
      </w:pPr>
      <w:r>
        <w:t>3. Pruebas y validaciones</w:t>
      </w:r>
    </w:p>
    <w:p>
      <w:pPr>
        <w:keepNext/>
        <w:spacing w:before="160" w:after="60" w:line="276" w:lineRule="auto"/>
        <w:jc w:val="center"/>
      </w:pPr>
      <w:r>
        <w:rPr>
          <w:b/>
          <w:sz w:val="19"/>
        </w:rPr>
        <w:t xml:space="preserve">Tabla 6. </w:t>
      </w:r>
      <w:r>
        <w:rPr>
          <w:sz w:val="19"/>
        </w:rPr>
        <w:t>Comandos ejecutados y resultados verificables (ejecución final del 28/10/2026, salvo actionlint)</w:t>
      </w:r>
    </w:p>
    <w:tbl>
      <w:tblPr>
        <w:tblStyle w:val="Tabladecuadrcula4-nfasis11"/>
        <w:tblW w:type="dxa" w:w="9865"/>
        <w:jc w:val="center"/>
        <w:tblLayout w:type="fixed"/>
        <w:tblLook w:firstColumn="1" w:firstRow="1" w:lastColumn="0" w:lastRow="0" w:noHBand="0" w:noVBand="1" w:val="04A0"/>
        <w:tblLayout w:type="fixed"/>
      </w:tblPr>
      <w:tblGrid>
        <w:gridCol w:w="1474"/>
        <w:gridCol w:w="5216"/>
        <w:gridCol w:w="3175"/>
      </w:tblGrid>
      <w:tr>
        <w:trPr>
          <w:tblHeader w:val="true"/>
          <w:cantSplit w:val="true"/>
        </w:trPr>
        <w:tc>
          <w:tcPr>
            <w:tcW w:type="dxa" w:w="1474"/>
          </w:tcPr>
          <w:p>
            <w:pPr>
              <w:keepNext/>
              <w:jc w:val="center"/>
            </w:pPr>
            <w:r/>
            <w:r>
              <w:rPr>
                <w:b/>
                <w:sz w:val="17"/>
              </w:rPr>
              <w:t>Alcance</w:t>
            </w:r>
          </w:p>
        </w:tc>
        <w:tc>
          <w:tcPr>
            <w:tcW w:type="dxa" w:w="5216"/>
          </w:tcPr>
          <w:p>
            <w:pPr>
              <w:keepNext/>
              <w:jc w:val="center"/>
            </w:pPr>
            <w:r/>
            <w:r>
              <w:rPr>
                <w:b/>
                <w:sz w:val="17"/>
              </w:rPr>
              <w:t>Comando</w:t>
            </w:r>
          </w:p>
        </w:tc>
        <w:tc>
          <w:tcPr>
            <w:tcW w:type="dxa" w:w="3175"/>
          </w:tcPr>
          <w:p>
            <w:pPr>
              <w:keepNext/>
              <w:jc w:val="center"/>
            </w:pPr>
            <w:r/>
            <w:r>
              <w:rPr>
                <w:b/>
                <w:sz w:val="17"/>
              </w:rPr>
              <w:t>Resultado</w:t>
            </w:r>
          </w:p>
        </w:tc>
      </w:tr>
      <w:tr>
        <w:trPr>
          <w:cantSplit w:val="true"/>
        </w:trPr>
        <w:tc>
          <w:tcPr>
            <w:tcW w:type="dxa" w:w="1474"/>
          </w:tcPr>
          <w:p>
            <w:pPr>
              <w:keepNext/>
              <w:spacing w:after="20"/>
            </w:pPr>
            <w:r/>
            <w:r>
              <w:rPr>
                <w:sz w:val="17"/>
              </w:rPr>
              <w:t>Laboratorio</w:t>
            </w:r>
          </w:p>
        </w:tc>
        <w:tc>
          <w:tcPr>
            <w:tcW w:type="dxa" w:w="5216"/>
          </w:tcPr>
          <w:p>
            <w:pPr>
              <w:keepNext/>
              <w:spacing w:after="20"/>
            </w:pPr>
            <w:r/>
            <w:r>
              <w:rPr>
                <w:rFonts w:ascii="Consolas" w:hAnsi="Consolas" w:eastAsia="Consolas"/>
                <w:sz w:val="17"/>
              </w:rPr>
              <w:t>python -m pytest -v</w:t>
            </w:r>
          </w:p>
        </w:tc>
        <w:tc>
          <w:tcPr>
            <w:tcW w:type="dxa" w:w="3175"/>
          </w:tcPr>
          <w:p>
            <w:pPr>
              <w:keepNext/>
              <w:spacing w:after="20"/>
            </w:pPr>
            <w:r/>
            <w:r>
              <w:rPr>
                <w:sz w:val="17"/>
              </w:rPr>
              <w:t>69 aprobadas, 1 xfail</w:t>
            </w:r>
          </w:p>
        </w:tc>
      </w:tr>
      <w:tr>
        <w:trPr>
          <w:cantSplit w:val="true"/>
        </w:trPr>
        <w:tc>
          <w:tcPr>
            <w:tcW w:type="dxa" w:w="1474"/>
          </w:tcPr>
          <w:p>
            <w:pPr>
              <w:keepNext/>
              <w:spacing w:after="20"/>
            </w:pPr>
            <w:r/>
            <w:r>
              <w:rPr>
                <w:sz w:val="17"/>
              </w:rPr>
              <w:t>Laboratorio</w:t>
            </w:r>
          </w:p>
        </w:tc>
        <w:tc>
          <w:tcPr>
            <w:tcW w:type="dxa" w:w="5216"/>
          </w:tcPr>
          <w:p>
            <w:pPr>
              <w:keepNext/>
              <w:spacing w:after="20"/>
            </w:pPr>
            <w:r/>
            <w:r>
              <w:rPr>
                <w:rFonts w:ascii="Consolas" w:hAnsi="Consolas" w:eastAsia="Consolas"/>
                <w:sz w:val="17"/>
              </w:rPr>
              <w:t>python -m ruff check src tests</w:t>
            </w:r>
          </w:p>
        </w:tc>
        <w:tc>
          <w:tcPr>
            <w:tcW w:type="dxa" w:w="3175"/>
          </w:tcPr>
          <w:p>
            <w:pPr>
              <w:keepNext/>
              <w:spacing w:after="20"/>
            </w:pPr>
            <w:r/>
            <w:r>
              <w:rPr>
                <w:sz w:val="17"/>
              </w:rPr>
              <w:t>All checks passed</w:t>
            </w:r>
          </w:p>
        </w:tc>
      </w:tr>
      <w:tr>
        <w:trPr>
          <w:cantSplit w:val="true"/>
        </w:trPr>
        <w:tc>
          <w:tcPr>
            <w:tcW w:type="dxa" w:w="1474"/>
          </w:tcPr>
          <w:p>
            <w:pPr>
              <w:keepNext/>
              <w:spacing w:after="20"/>
            </w:pPr>
            <w:r/>
            <w:r>
              <w:rPr>
                <w:sz w:val="17"/>
              </w:rPr>
              <w:t>Laboratorio</w:t>
            </w:r>
          </w:p>
        </w:tc>
        <w:tc>
          <w:tcPr>
            <w:tcW w:type="dxa" w:w="5216"/>
          </w:tcPr>
          <w:p>
            <w:pPr>
              <w:keepNext/>
              <w:spacing w:after="20"/>
            </w:pPr>
            <w:r/>
            <w:r>
              <w:rPr>
                <w:rFonts w:ascii="Consolas" w:hAnsi="Consolas" w:eastAsia="Consolas"/>
                <w:sz w:val="17"/>
              </w:rPr>
              <w:t>python -m pytest -v --cov=src --cov-report=term-missing --cov-report=html --cov-fail-under=80</w:t>
            </w:r>
          </w:p>
        </w:tc>
        <w:tc>
          <w:tcPr>
            <w:tcW w:type="dxa" w:w="3175"/>
          </w:tcPr>
          <w:p>
            <w:pPr>
              <w:keepNext/>
              <w:spacing w:after="20"/>
            </w:pPr>
            <w:r/>
            <w:r>
              <w:rPr>
                <w:sz w:val="17"/>
              </w:rPr>
              <w:t xml:space="preserve">69 aprobadas, 1 xfail; cobertura 100 %; </w:t>
            </w:r>
            <w:r>
              <w:rPr>
                <w:rFonts w:ascii="Consolas" w:hAnsi="Consolas" w:eastAsia="Consolas"/>
                <w:sz w:val="17"/>
              </w:rPr>
              <w:t>htmlcov/index.html</w:t>
            </w:r>
            <w:r>
              <w:rPr>
                <w:sz w:val="17"/>
              </w:rPr>
              <w:t xml:space="preserve"> generado</w:t>
            </w:r>
          </w:p>
        </w:tc>
      </w:tr>
      <w:tr>
        <w:trPr>
          <w:cantSplit w:val="true"/>
        </w:trPr>
        <w:tc>
          <w:tcPr>
            <w:tcW w:type="dxa" w:w="1474"/>
          </w:tcPr>
          <w:p>
            <w:pPr>
              <w:keepNext/>
              <w:spacing w:after="20"/>
            </w:pPr>
            <w:r/>
            <w:r>
              <w:rPr>
                <w:sz w:val="17"/>
              </w:rPr>
              <w:t>Laboratorio</w:t>
            </w:r>
          </w:p>
        </w:tc>
        <w:tc>
          <w:tcPr>
            <w:tcW w:type="dxa" w:w="5216"/>
          </w:tcPr>
          <w:p>
            <w:pPr>
              <w:keepNext/>
              <w:spacing w:after="20"/>
            </w:pPr>
            <w:r/>
            <w:r>
              <w:rPr>
                <w:rFonts w:ascii="Consolas" w:hAnsi="Consolas" w:eastAsia="Consolas"/>
                <w:sz w:val="17"/>
              </w:rPr>
              <w:t>python -m pytest -q --cov=src --cov-branch</w:t>
            </w:r>
          </w:p>
        </w:tc>
        <w:tc>
          <w:tcPr>
            <w:tcW w:type="dxa" w:w="3175"/>
          </w:tcPr>
          <w:p>
            <w:pPr>
              <w:keepNext/>
              <w:spacing w:after="20"/>
            </w:pPr>
            <w:r/>
            <w:r>
              <w:rPr>
                <w:sz w:val="17"/>
              </w:rPr>
              <w:t>Líneas y ramas: 100 %</w:t>
            </w:r>
          </w:p>
        </w:tc>
      </w:tr>
      <w:tr>
        <w:trPr>
          <w:cantSplit w:val="true"/>
        </w:trPr>
        <w:tc>
          <w:tcPr>
            <w:tcW w:type="dxa" w:w="1474"/>
          </w:tcPr>
          <w:p>
            <w:pPr>
              <w:keepNext/>
              <w:spacing w:after="20"/>
            </w:pPr>
            <w:r/>
            <w:r>
              <w:rPr>
                <w:sz w:val="17"/>
              </w:rPr>
              <w:t>Laboratorio</w:t>
            </w:r>
          </w:p>
        </w:tc>
        <w:tc>
          <w:tcPr>
            <w:tcW w:type="dxa" w:w="5216"/>
          </w:tcPr>
          <w:p>
            <w:pPr>
              <w:keepNext/>
              <w:spacing w:after="20"/>
            </w:pPr>
            <w:r/>
            <w:r>
              <w:rPr>
                <w:rFonts w:ascii="Consolas" w:hAnsi="Consolas" w:eastAsia="Consolas"/>
                <w:sz w:val="17"/>
              </w:rPr>
              <w:t>python -m compileall -q src</w:t>
            </w:r>
          </w:p>
        </w:tc>
        <w:tc>
          <w:tcPr>
            <w:tcW w:type="dxa" w:w="3175"/>
          </w:tcPr>
          <w:p>
            <w:pPr>
              <w:keepNext/>
              <w:spacing w:after="20"/>
            </w:pPr>
            <w:r/>
            <w:r>
              <w:rPr>
                <w:sz w:val="17"/>
              </w:rPr>
              <w:t>Código de salida 0</w:t>
            </w:r>
          </w:p>
        </w:tc>
      </w:tr>
      <w:tr>
        <w:trPr>
          <w:cantSplit w:val="true"/>
        </w:trPr>
        <w:tc>
          <w:tcPr>
            <w:tcW w:type="dxa" w:w="1474"/>
          </w:tcPr>
          <w:p>
            <w:pPr>
              <w:keepNext/>
              <w:spacing w:after="20"/>
            </w:pPr>
            <w:r/>
            <w:r>
              <w:rPr>
                <w:sz w:val="17"/>
              </w:rPr>
              <w:t>Laboratorio</w:t>
            </w:r>
          </w:p>
        </w:tc>
        <w:tc>
          <w:tcPr>
            <w:tcW w:type="dxa" w:w="5216"/>
          </w:tcPr>
          <w:p>
            <w:pPr>
              <w:keepNext/>
              <w:spacing w:after="20"/>
            </w:pPr>
            <w:r/>
            <w:r>
              <w:rPr>
                <w:rFonts w:ascii="Consolas" w:hAnsi="Consolas" w:eastAsia="Consolas"/>
                <w:sz w:val="17"/>
              </w:rPr>
              <w:t>actionlint .github/workflows/ci.yml</w:t>
            </w:r>
            <w:r>
              <w:rPr>
                <w:sz w:val="17"/>
              </w:rPr>
              <w:t xml:space="preserve"> (27/10/2026)</w:t>
            </w:r>
          </w:p>
        </w:tc>
        <w:tc>
          <w:tcPr>
            <w:tcW w:type="dxa" w:w="3175"/>
          </w:tcPr>
          <w:p>
            <w:pPr>
              <w:keepNext/>
              <w:spacing w:after="20"/>
            </w:pPr>
            <w:r/>
            <w:r>
              <w:rPr>
                <w:sz w:val="17"/>
              </w:rPr>
              <w:t>0 errores</w:t>
            </w:r>
          </w:p>
        </w:tc>
      </w:tr>
      <w:tr>
        <w:trPr>
          <w:cantSplit w:val="true"/>
        </w:trPr>
        <w:tc>
          <w:tcPr>
            <w:tcW w:type="dxa" w:w="1474"/>
          </w:tcPr>
          <w:p>
            <w:pPr>
              <w:keepNext/>
              <w:spacing w:after="20"/>
            </w:pPr>
            <w:r/>
            <w:r>
              <w:rPr>
                <w:sz w:val="17"/>
              </w:rPr>
              <w:t>Eventos Nova</w:t>
            </w:r>
          </w:p>
        </w:tc>
        <w:tc>
          <w:tcPr>
            <w:tcW w:type="dxa" w:w="5216"/>
          </w:tcPr>
          <w:p>
            <w:pPr>
              <w:keepNext/>
              <w:spacing w:after="20"/>
            </w:pPr>
            <w:r/>
            <w:r>
              <w:rPr>
                <w:rFonts w:ascii="Consolas" w:hAnsi="Consolas" w:eastAsia="Consolas"/>
                <w:sz w:val="17"/>
              </w:rPr>
              <w:t>python -m pytest tests_u5 -v -rxX</w:t>
            </w:r>
            <w:r>
              <w:rPr>
                <w:sz w:val="17"/>
              </w:rPr>
              <w:t xml:space="preserve"> (en </w:t>
            </w:r>
            <w:r>
              <w:rPr>
                <w:rFonts w:ascii="Consolas" w:hAnsi="Consolas" w:eastAsia="Consolas"/>
                <w:sz w:val="17"/>
              </w:rPr>
              <w:t>pia_eventos_nova/Eventosnova</w:t>
            </w:r>
            <w:r>
              <w:rPr>
                <w:sz w:val="17"/>
              </w:rPr>
              <w:t>)</w:t>
            </w:r>
          </w:p>
        </w:tc>
        <w:tc>
          <w:tcPr>
            <w:tcW w:type="dxa" w:w="3175"/>
          </w:tcPr>
          <w:p>
            <w:pPr>
              <w:keepNext/>
              <w:spacing w:after="20"/>
            </w:pPr>
            <w:r/>
            <w:r>
              <w:rPr>
                <w:sz w:val="17"/>
              </w:rPr>
              <w:t>22 aprobadas (PostgreSQL 16 local)</w:t>
            </w:r>
          </w:p>
        </w:tc>
      </w:tr>
      <w:tr>
        <w:trPr>
          <w:cantSplit w:val="true"/>
        </w:trPr>
        <w:tc>
          <w:tcPr>
            <w:tcW w:type="dxa" w:w="1474"/>
          </w:tcPr>
          <w:p>
            <w:pPr>
              <w:keepNext/>
              <w:spacing w:after="20"/>
            </w:pPr>
            <w:r/>
            <w:r>
              <w:rPr>
                <w:sz w:val="17"/>
              </w:rPr>
              <w:t>Eventos Nova</w:t>
            </w:r>
          </w:p>
        </w:tc>
        <w:tc>
          <w:tcPr>
            <w:tcW w:type="dxa" w:w="5216"/>
          </w:tcPr>
          <w:p>
            <w:pPr>
              <w:keepNext/>
              <w:spacing w:after="20"/>
            </w:pPr>
            <w:r/>
            <w:r>
              <w:rPr>
                <w:rFonts w:ascii="Consolas" w:hAnsi="Consolas" w:eastAsia="Consolas"/>
                <w:sz w:val="17"/>
              </w:rPr>
              <w:t>python -m ruff check tests_u5</w:t>
            </w:r>
          </w:p>
        </w:tc>
        <w:tc>
          <w:tcPr>
            <w:tcW w:type="dxa" w:w="3175"/>
          </w:tcPr>
          <w:p>
            <w:pPr>
              <w:keepNext/>
              <w:spacing w:after="20"/>
            </w:pPr>
            <w:r/>
            <w:r>
              <w:rPr>
                <w:sz w:val="17"/>
              </w:rPr>
              <w:t>All checks passed</w:t>
            </w:r>
          </w:p>
        </w:tc>
      </w:tr>
      <w:tr>
        <w:trPr>
          <w:cantSplit w:val="true"/>
        </w:trPr>
        <w:tc>
          <w:tcPr>
            <w:tcW w:type="dxa" w:w="1474"/>
          </w:tcPr>
          <w:p>
            <w:pPr>
              <w:keepNext/>
              <w:spacing w:after="20"/>
            </w:pPr>
            <w:r/>
            <w:r>
              <w:rPr>
                <w:sz w:val="17"/>
              </w:rPr>
              <w:t>Eventos Nova</w:t>
            </w:r>
          </w:p>
        </w:tc>
        <w:tc>
          <w:tcPr>
            <w:tcW w:type="dxa" w:w="5216"/>
          </w:tcPr>
          <w:p>
            <w:pPr>
              <w:keepNext/>
              <w:spacing w:after="20"/>
            </w:pPr>
            <w:r/>
            <w:r>
              <w:rPr>
                <w:rFonts w:ascii="Consolas" w:hAnsi="Consolas" w:eastAsia="Consolas"/>
                <w:sz w:val="17"/>
              </w:rPr>
              <w:t>coverage run -m unittest discover -s tests</w:t>
            </w:r>
            <w:r>
              <w:rPr>
                <w:sz w:val="17"/>
              </w:rPr>
              <w:t xml:space="preserve"> + </w:t>
            </w:r>
            <w:r>
              <w:rPr>
                <w:rFonts w:ascii="Consolas" w:hAnsi="Consolas" w:eastAsia="Consolas"/>
                <w:sz w:val="17"/>
              </w:rPr>
              <w:t>coverage run -a -m pytest tests_u5</w:t>
            </w:r>
          </w:p>
        </w:tc>
        <w:tc>
          <w:tcPr>
            <w:tcW w:type="dxa" w:w="3175"/>
          </w:tcPr>
          <w:p>
            <w:pPr>
              <w:keepNext/>
              <w:spacing w:after="20"/>
            </w:pPr>
            <w:r/>
            <w:r>
              <w:rPr>
                <w:sz w:val="17"/>
              </w:rPr>
              <w:t>Sentencias 98.83 %, ramas 95.86 % (mínimo 80 %: cumple)</w:t>
            </w:r>
          </w:p>
        </w:tc>
      </w:tr>
      <w:tr>
        <w:trPr>
          <w:cantSplit w:val="true"/>
        </w:trPr>
        <w:tc>
          <w:tcPr>
            <w:tcW w:type="dxa" w:w="1474"/>
          </w:tcPr>
          <w:p>
            <w:pPr>
              <w:spacing w:after="20"/>
            </w:pPr>
            <w:r/>
            <w:r>
              <w:rPr>
                <w:sz w:val="17"/>
              </w:rPr>
              <w:t>Eventos Nova</w:t>
            </w:r>
          </w:p>
        </w:tc>
        <w:tc>
          <w:tcPr>
            <w:tcW w:type="dxa" w:w="5216"/>
          </w:tcPr>
          <w:p>
            <w:pPr>
              <w:spacing w:after="20"/>
            </w:pPr>
            <w:r/>
            <w:r>
              <w:rPr>
                <w:rFonts w:ascii="Consolas" w:hAnsi="Consolas" w:eastAsia="Consolas"/>
                <w:sz w:val="17"/>
              </w:rPr>
              <w:t>coverage run -m unittest discover -s tests</w:t>
            </w:r>
            <w:r>
              <w:rPr>
                <w:sz w:val="17"/>
              </w:rPr>
              <w:t xml:space="preserve"> (suite del equipo)</w:t>
            </w:r>
          </w:p>
        </w:tc>
        <w:tc>
          <w:tcPr>
            <w:tcW w:type="dxa" w:w="3175"/>
          </w:tcPr>
          <w:p>
            <w:pPr>
              <w:spacing w:after="20"/>
            </w:pPr>
            <w:r/>
            <w:r>
              <w:rPr>
                <w:sz w:val="17"/>
              </w:rPr>
              <w:t>1 306 pruebas, 1 fallo de entorno (sección 6)</w:t>
            </w:r>
          </w:p>
        </w:tc>
      </w:tr>
    </w:tbl>
    <w:p>
      <w:pPr>
        <w:spacing w:before="0" w:after="40" w:line="276" w:lineRule="auto"/>
        <w:jc w:val="both"/>
      </w:pPr>
    </w:p>
    <w:p>
      <w:pPr>
        <w:keepNext/>
        <w:spacing w:before="120"/>
        <w:jc w:val="center"/>
      </w:pPr>
      <w:r>
        <w:drawing>
          <wp:inline xmlns:a="http://schemas.openxmlformats.org/drawingml/2006/main" xmlns:pic="http://schemas.openxmlformats.org/drawingml/2006/picture">
            <wp:extent cx="5940000" cy="2894619"/>
            <wp:docPr id="18" name="Picture 18"/>
            <wp:cNvGraphicFramePr>
              <a:graphicFrameLocks noChangeAspect="1"/>
            </wp:cNvGraphicFramePr>
            <a:graphic>
              <a:graphicData uri="http://schemas.openxmlformats.org/drawingml/2006/picture">
                <pic:pic>
                  <pic:nvPicPr>
                    <pic:cNvPr id="0" name="E9_14_cobertura_equipo_mas_u5_20261028.png"/>
                    <pic:cNvPicPr/>
                  </pic:nvPicPr>
                  <pic:blipFill>
                    <a:blip r:embed="rId35"/>
                    <a:stretch>
                      <a:fillRect/>
                    </a:stretch>
                  </pic:blipFill>
                  <pic:spPr>
                    <a:xfrm>
                      <a:off x="0" y="0"/>
                      <a:ext cx="5940000" cy="2894619"/>
                    </a:xfrm>
                    <a:prstGeom prst="rect"/>
                  </pic:spPr>
                </pic:pic>
              </a:graphicData>
            </a:graphic>
          </wp:inline>
        </w:drawing>
      </w:r>
    </w:p>
    <w:p>
      <w:pPr>
        <w:spacing w:before="80" w:after="120" w:line="276" w:lineRule="auto"/>
        <w:jc w:val="center"/>
      </w:pPr>
      <w:r>
        <w:rPr>
          <w:b/>
          <w:sz w:val="19"/>
        </w:rPr>
        <w:t xml:space="preserve">Figura 18. </w:t>
      </w:r>
      <w:r>
        <w:rPr>
          <w:sz w:val="19"/>
        </w:rPr>
        <w:t>Cobertura de Eventos Nova con la suite del equipo y las pruebas U5 (E9, 28/10/2026).</w:t>
      </w:r>
    </w:p>
    <w:p>
      <w:pPr>
        <w:pStyle w:val="Ttulo1"/>
        <w:keepNext/>
      </w:pPr>
      <w:r>
        <w:t>4. Matrices y resultados de prueba</w:t>
      </w:r>
    </w:p>
    <w:p>
      <w:pPr>
        <w:spacing w:before="0" w:after="120" w:line="276" w:lineRule="auto"/>
        <w:jc w:val="both"/>
      </w:pPr>
      <w:r>
        <w:t>Las dos matrices completas están en los Anexos A y B y en los CSV del entregable. Los conteos de la Tabla 7 salen de la columna «Categoría» de cada CSV y los estados del JUnit XML de la ejecución final; la columna «Fecha de ejecución» de los CSV indica cuándo se obtuvo cada resultado.</w:t>
      </w:r>
    </w:p>
    <w:p>
      <w:pPr>
        <w:keepNext/>
        <w:spacing w:before="160" w:after="60" w:line="276" w:lineRule="auto"/>
        <w:jc w:val="center"/>
      </w:pPr>
      <w:r>
        <w:rPr>
          <w:b/>
          <w:sz w:val="19"/>
        </w:rPr>
        <w:t xml:space="preserve">Tabla 7. </w:t>
      </w:r>
      <w:r>
        <w:rPr>
          <w:sz w:val="19"/>
        </w:rPr>
        <w:t>Resumen de las matrices (28/10/2026)</w:t>
      </w:r>
    </w:p>
    <w:tbl>
      <w:tblPr>
        <w:tblStyle w:val="Tabladecuadrcula4-nfasis11"/>
        <w:tblW w:type="dxa" w:w="9525"/>
        <w:jc w:val="center"/>
        <w:tblLayout w:type="fixed"/>
        <w:tblLook w:firstColumn="1" w:firstRow="1" w:lastColumn="0" w:lastRow="0" w:noHBand="0" w:noVBand="1" w:val="04A0"/>
        <w:tblLayout w:type="fixed"/>
      </w:tblPr>
      <w:tblGrid>
        <w:gridCol w:w="3175"/>
        <w:gridCol w:w="737"/>
        <w:gridCol w:w="737"/>
        <w:gridCol w:w="737"/>
        <w:gridCol w:w="793"/>
        <w:gridCol w:w="793"/>
        <w:gridCol w:w="1247"/>
        <w:gridCol w:w="1304"/>
      </w:tblGrid>
      <w:tr>
        <w:trPr>
          <w:tblHeader w:val="true"/>
          <w:cantSplit w:val="true"/>
        </w:trPr>
        <w:tc>
          <w:tcPr>
            <w:tcW w:type="dxa" w:w="3175"/>
          </w:tcPr>
          <w:p>
            <w:pPr>
              <w:keepNext/>
              <w:jc w:val="center"/>
            </w:pPr>
            <w:r/>
            <w:r>
              <w:rPr>
                <w:b/>
                <w:sz w:val="17"/>
              </w:rPr>
              <w:t>Matriz</w:t>
            </w:r>
          </w:p>
        </w:tc>
        <w:tc>
          <w:tcPr>
            <w:tcW w:type="dxa" w:w="737"/>
          </w:tcPr>
          <w:p>
            <w:pPr>
              <w:keepNext/>
              <w:jc w:val="center"/>
            </w:pPr>
            <w:r/>
            <w:r>
              <w:rPr>
                <w:b/>
                <w:sz w:val="17"/>
              </w:rPr>
              <w:t>Casos</w:t>
            </w:r>
          </w:p>
        </w:tc>
        <w:tc>
          <w:tcPr>
            <w:tcW w:type="dxa" w:w="737"/>
          </w:tcPr>
          <w:p>
            <w:pPr>
              <w:keepNext/>
              <w:jc w:val="center"/>
            </w:pPr>
            <w:r/>
            <w:r>
              <w:rPr>
                <w:b/>
                <w:sz w:val="17"/>
              </w:rPr>
              <w:t>Éxito</w:t>
            </w:r>
          </w:p>
        </w:tc>
        <w:tc>
          <w:tcPr>
            <w:tcW w:type="dxa" w:w="737"/>
          </w:tcPr>
          <w:p>
            <w:pPr>
              <w:keepNext/>
              <w:jc w:val="center"/>
            </w:pPr>
            <w:r/>
            <w:r>
              <w:rPr>
                <w:b/>
                <w:sz w:val="17"/>
              </w:rPr>
              <w:t>Error</w:t>
            </w:r>
          </w:p>
        </w:tc>
        <w:tc>
          <w:tcPr>
            <w:tcW w:type="dxa" w:w="794"/>
          </w:tcPr>
          <w:p>
            <w:pPr>
              <w:keepNext/>
              <w:jc w:val="center"/>
            </w:pPr>
            <w:r/>
            <w:r>
              <w:rPr>
                <w:b/>
                <w:sz w:val="17"/>
              </w:rPr>
              <w:t>Límite</w:t>
            </w:r>
          </w:p>
        </w:tc>
        <w:tc>
          <w:tcPr>
            <w:tcW w:type="dxa" w:w="794"/>
          </w:tcPr>
          <w:p>
            <w:pPr>
              <w:keepNext/>
              <w:jc w:val="center"/>
            </w:pPr>
            <w:r/>
            <w:r>
              <w:rPr>
                <w:b/>
                <w:sz w:val="17"/>
              </w:rPr>
              <w:t>Riesgo</w:t>
            </w:r>
          </w:p>
        </w:tc>
        <w:tc>
          <w:tcPr>
            <w:tcW w:type="dxa" w:w="1247"/>
          </w:tcPr>
          <w:p>
            <w:pPr>
              <w:keepNext/>
              <w:jc w:val="center"/>
            </w:pPr>
            <w:r/>
            <w:r>
              <w:rPr>
                <w:b/>
                <w:sz w:val="17"/>
              </w:rPr>
              <w:t>Aprobados</w:t>
            </w:r>
          </w:p>
        </w:tc>
        <w:tc>
          <w:tcPr>
            <w:tcW w:type="dxa" w:w="1304"/>
          </w:tcPr>
          <w:p>
            <w:pPr>
              <w:keepNext/>
              <w:jc w:val="center"/>
            </w:pPr>
            <w:r/>
            <w:r>
              <w:rPr>
                <w:b/>
                <w:sz w:val="17"/>
              </w:rPr>
              <w:t>XFAIL</w:t>
            </w:r>
          </w:p>
        </w:tc>
      </w:tr>
      <w:tr>
        <w:trPr>
          <w:cantSplit w:val="true"/>
        </w:trPr>
        <w:tc>
          <w:tcPr>
            <w:tcW w:type="dxa" w:w="3175"/>
          </w:tcPr>
          <w:p>
            <w:pPr>
              <w:keepNext/>
              <w:spacing w:after="20"/>
            </w:pPr>
            <w:r/>
            <w:r>
              <w:rPr>
                <w:sz w:val="17"/>
              </w:rPr>
              <w:t>Laboratorio base (</w:t>
            </w:r>
            <w:r>
              <w:rPr>
                <w:rFonts w:ascii="Consolas" w:hAnsi="Consolas" w:eastAsia="Consolas"/>
                <w:sz w:val="17"/>
              </w:rPr>
              <w:t>matriz_pruebas_base.csv</w:t>
            </w:r>
            <w:r>
              <w:rPr>
                <w:sz w:val="17"/>
              </w:rPr>
              <w:t>)</w:t>
            </w:r>
          </w:p>
        </w:tc>
        <w:tc>
          <w:tcPr>
            <w:tcW w:type="dxa" w:w="737"/>
          </w:tcPr>
          <w:p>
            <w:pPr>
              <w:keepNext/>
              <w:spacing w:after="20"/>
            </w:pPr>
            <w:r/>
            <w:r>
              <w:rPr>
                <w:sz w:val="17"/>
              </w:rPr>
              <w:t>27</w:t>
            </w:r>
          </w:p>
        </w:tc>
        <w:tc>
          <w:tcPr>
            <w:tcW w:type="dxa" w:w="737"/>
          </w:tcPr>
          <w:p>
            <w:pPr>
              <w:keepNext/>
              <w:spacing w:after="20"/>
            </w:pPr>
            <w:r/>
            <w:r>
              <w:rPr>
                <w:sz w:val="17"/>
              </w:rPr>
              <w:t>8</w:t>
            </w:r>
          </w:p>
        </w:tc>
        <w:tc>
          <w:tcPr>
            <w:tcW w:type="dxa" w:w="737"/>
          </w:tcPr>
          <w:p>
            <w:pPr>
              <w:keepNext/>
              <w:spacing w:after="20"/>
            </w:pPr>
            <w:r/>
            <w:r>
              <w:rPr>
                <w:sz w:val="17"/>
              </w:rPr>
              <w:t>11</w:t>
            </w:r>
          </w:p>
        </w:tc>
        <w:tc>
          <w:tcPr>
            <w:tcW w:type="dxa" w:w="794"/>
          </w:tcPr>
          <w:p>
            <w:pPr>
              <w:keepNext/>
              <w:spacing w:after="20"/>
            </w:pPr>
            <w:r/>
            <w:r>
              <w:rPr>
                <w:sz w:val="17"/>
              </w:rPr>
              <w:t>7</w:t>
            </w:r>
          </w:p>
        </w:tc>
        <w:tc>
          <w:tcPr>
            <w:tcW w:type="dxa" w:w="794"/>
          </w:tcPr>
          <w:p>
            <w:pPr>
              <w:keepNext/>
              <w:spacing w:after="20"/>
            </w:pPr>
            <w:r/>
            <w:r>
              <w:rPr>
                <w:sz w:val="17"/>
              </w:rPr>
              <w:t>1</w:t>
            </w:r>
          </w:p>
        </w:tc>
        <w:tc>
          <w:tcPr>
            <w:tcW w:type="dxa" w:w="1247"/>
          </w:tcPr>
          <w:p>
            <w:pPr>
              <w:keepNext/>
              <w:spacing w:after="20"/>
            </w:pPr>
            <w:r/>
            <w:r>
              <w:rPr>
                <w:sz w:val="17"/>
              </w:rPr>
              <w:t>26</w:t>
            </w:r>
          </w:p>
        </w:tc>
        <w:tc>
          <w:tcPr>
            <w:tcW w:type="dxa" w:w="1304"/>
          </w:tcPr>
          <w:p>
            <w:pPr>
              <w:keepNext/>
              <w:spacing w:after="20"/>
            </w:pPr>
            <w:r/>
            <w:r>
              <w:rPr>
                <w:sz w:val="17"/>
              </w:rPr>
              <w:t>1 (LAB-27)</w:t>
            </w:r>
          </w:p>
        </w:tc>
      </w:tr>
      <w:tr>
        <w:trPr>
          <w:cantSplit w:val="true"/>
        </w:trPr>
        <w:tc>
          <w:tcPr>
            <w:tcW w:type="dxa" w:w="3175"/>
          </w:tcPr>
          <w:p>
            <w:pPr>
              <w:spacing w:after="20"/>
            </w:pPr>
            <w:r/>
            <w:r>
              <w:rPr>
                <w:sz w:val="17"/>
              </w:rPr>
              <w:t>Eventos Nova (</w:t>
            </w:r>
            <w:r>
              <w:rPr>
                <w:rFonts w:ascii="Consolas" w:hAnsi="Consolas" w:eastAsia="Consolas"/>
                <w:sz w:val="17"/>
              </w:rPr>
              <w:t>matriz_pruebas_PIA.csv</w:t>
            </w:r>
            <w:r>
              <w:rPr>
                <w:sz w:val="17"/>
              </w:rPr>
              <w:t>)</w:t>
            </w:r>
          </w:p>
        </w:tc>
        <w:tc>
          <w:tcPr>
            <w:tcW w:type="dxa" w:w="737"/>
          </w:tcPr>
          <w:p>
            <w:pPr>
              <w:spacing w:after="20"/>
            </w:pPr>
            <w:r/>
            <w:r>
              <w:rPr>
                <w:sz w:val="17"/>
              </w:rPr>
              <w:t>22</w:t>
            </w:r>
          </w:p>
        </w:tc>
        <w:tc>
          <w:tcPr>
            <w:tcW w:type="dxa" w:w="737"/>
          </w:tcPr>
          <w:p>
            <w:pPr>
              <w:spacing w:after="20"/>
            </w:pPr>
            <w:r/>
            <w:r>
              <w:rPr>
                <w:sz w:val="17"/>
              </w:rPr>
              <w:t>7</w:t>
            </w:r>
          </w:p>
        </w:tc>
        <w:tc>
          <w:tcPr>
            <w:tcW w:type="dxa" w:w="737"/>
          </w:tcPr>
          <w:p>
            <w:pPr>
              <w:spacing w:after="20"/>
            </w:pPr>
            <w:r/>
            <w:r>
              <w:rPr>
                <w:sz w:val="17"/>
              </w:rPr>
              <w:t>9</w:t>
            </w:r>
          </w:p>
        </w:tc>
        <w:tc>
          <w:tcPr>
            <w:tcW w:type="dxa" w:w="794"/>
          </w:tcPr>
          <w:p>
            <w:pPr>
              <w:spacing w:after="20"/>
            </w:pPr>
            <w:r/>
            <w:r>
              <w:rPr>
                <w:sz w:val="17"/>
              </w:rPr>
              <w:t>6</w:t>
            </w:r>
          </w:p>
        </w:tc>
        <w:tc>
          <w:tcPr>
            <w:tcW w:type="dxa" w:w="794"/>
          </w:tcPr>
          <w:p>
            <w:pPr>
              <w:spacing w:after="20"/>
            </w:pPr>
            <w:r/>
            <w:r>
              <w:rPr>
                <w:sz w:val="17"/>
              </w:rPr>
              <w:t>0</w:t>
            </w:r>
          </w:p>
        </w:tc>
        <w:tc>
          <w:tcPr>
            <w:tcW w:type="dxa" w:w="1247"/>
          </w:tcPr>
          <w:p>
            <w:pPr>
              <w:spacing w:after="20"/>
            </w:pPr>
            <w:r/>
            <w:r>
              <w:rPr>
                <w:sz w:val="17"/>
              </w:rPr>
              <w:t>22</w:t>
            </w:r>
          </w:p>
        </w:tc>
        <w:tc>
          <w:tcPr>
            <w:tcW w:type="dxa" w:w="1304"/>
          </w:tcPr>
          <w:p>
            <w:pPr>
              <w:spacing w:after="20"/>
            </w:pPr>
            <w:r/>
            <w:r>
              <w:rPr>
                <w:sz w:val="17"/>
              </w:rPr>
              <w:t>0</w:t>
            </w:r>
          </w:p>
        </w:tc>
      </w:tr>
    </w:tbl>
    <w:p>
      <w:pPr>
        <w:spacing w:before="0" w:after="40" w:line="276" w:lineRule="auto"/>
        <w:jc w:val="both"/>
      </w:pPr>
    </w:p>
    <w:p>
      <w:pPr>
        <w:spacing w:before="0" w:after="120" w:line="276" w:lineRule="auto"/>
        <w:jc w:val="both"/>
      </w:pPr>
      <w:r>
        <w:t xml:space="preserve">En la matriz del laboratorio, LAB-27 es un </w:t>
      </w:r>
      <w:r>
        <w:rPr>
          <w:b/>
        </w:rPr>
        <w:t>riesgo documentado</w:t>
      </w:r>
      <w:r>
        <w:t xml:space="preserve">, una categoría propia que no se suma a los errores: es la única prueba cuyo resultado real no coincide con el esperado, y no coincide a propósito, porque expresa el comportamiento deseable que el código todavía no tiene. Los mínimos del laboratorio (5 éxito, 4 error, 3 límite) se cumplen sin contarla. En la versión 1 de este reporte se había sumado a los errores (12); se corrigió. En la matriz de Eventos Nova, PIA-03b pasó de </w:t>
      </w:r>
      <w:r>
        <w:rPr>
          <w:rFonts w:ascii="Consolas" w:hAnsi="Consolas" w:eastAsia="Consolas"/>
          <w:sz w:val="18"/>
        </w:rPr>
        <w:t>xfail</w:t>
      </w:r>
      <w:r>
        <w:t xml:space="preserve"> a aprobada con la corrección U5-H1, y PIA-20, que antes figuraba como «Error → Éxito», se clasifica como error porque su objetivo es el rechazo del verificador.</w:t>
      </w:r>
    </w:p>
    <w:p>
      <w:pPr>
        <w:pStyle w:val="Ttulo1"/>
        <w:keepNext/>
      </w:pPr>
      <w:r>
        <w:t>5. Evidencias E1–E9</w:t>
      </w:r>
    </w:p>
    <w:p>
      <w:pPr>
        <w:spacing w:before="0" w:after="120" w:line="276" w:lineRule="auto"/>
        <w:jc w:val="both"/>
      </w:pPr>
      <w:r>
        <w:t xml:space="preserve">Cada evidencia tiene en </w:t>
      </w:r>
      <w:r>
        <w:rPr>
          <w:rFonts w:ascii="Consolas" w:hAnsi="Consolas" w:eastAsia="Consolas"/>
          <w:sz w:val="18"/>
        </w:rPr>
        <w:t>evidencias/</w:t>
      </w:r>
      <w:r>
        <w:t xml:space="preserve"> el registro de texto con fecha, comando y código de salida, y su imagen. Las imágenes de terminal se generaron a partir de esos registros sin cambiar el texto; las de cobertura HTML son capturas del navegador. Los registros del 27/10 se conservan; los de la revisión del 28/10 tienen </w:t>
      </w:r>
      <w:r>
        <w:rPr>
          <w:rFonts w:ascii="Consolas" w:hAnsi="Consolas" w:eastAsia="Consolas"/>
          <w:sz w:val="18"/>
        </w:rPr>
        <w:t>20261028</w:t>
      </w:r>
      <w:r>
        <w:t xml:space="preserve"> en el nombre.</w:t>
      </w:r>
    </w:p>
    <w:p>
      <w:pPr>
        <w:keepNext/>
        <w:spacing w:before="160" w:after="60" w:line="276" w:lineRule="auto"/>
        <w:jc w:val="center"/>
      </w:pPr>
      <w:r>
        <w:rPr>
          <w:b/>
          <w:sz w:val="19"/>
        </w:rPr>
        <w:t xml:space="preserve">Tabla 8. </w:t>
      </w:r>
      <w:r>
        <w:rPr>
          <w:sz w:val="19"/>
        </w:rPr>
        <w:t>Estado de las evidencias</w:t>
      </w:r>
    </w:p>
    <w:tbl>
      <w:tblPr>
        <w:tblStyle w:val="Tabladecuadrcula4-nfasis11"/>
        <w:tblW w:type="dxa" w:w="9865"/>
        <w:jc w:val="center"/>
        <w:tblLayout w:type="fixed"/>
        <w:tblLook w:firstColumn="1" w:firstRow="1" w:lastColumn="0" w:lastRow="0" w:noHBand="0" w:noVBand="1" w:val="04A0"/>
        <w:tblLayout w:type="fixed"/>
      </w:tblPr>
      <w:tblGrid>
        <w:gridCol w:w="567"/>
        <w:gridCol w:w="1587"/>
        <w:gridCol w:w="2154"/>
        <w:gridCol w:w="2494"/>
        <w:gridCol w:w="1134"/>
        <w:gridCol w:w="1927"/>
      </w:tblGrid>
      <w:tr>
        <w:trPr>
          <w:tblHeader w:val="true"/>
          <w:cantSplit w:val="true"/>
        </w:trPr>
        <w:tc>
          <w:tcPr>
            <w:tcW w:type="dxa" w:w="567"/>
          </w:tcPr>
          <w:p>
            <w:pPr>
              <w:keepNext/>
              <w:jc w:val="center"/>
            </w:pPr>
            <w:r/>
            <w:r>
              <w:rPr>
                <w:b/>
                <w:sz w:val="16"/>
              </w:rPr>
              <w:t>ID</w:t>
            </w:r>
          </w:p>
        </w:tc>
        <w:tc>
          <w:tcPr>
            <w:tcW w:type="dxa" w:w="1587"/>
          </w:tcPr>
          <w:p>
            <w:pPr>
              <w:keepNext/>
              <w:jc w:val="center"/>
            </w:pPr>
            <w:r/>
            <w:r>
              <w:rPr>
                <w:b/>
                <w:sz w:val="16"/>
              </w:rPr>
              <w:t>Objetivo</w:t>
            </w:r>
          </w:p>
        </w:tc>
        <w:tc>
          <w:tcPr>
            <w:tcW w:type="dxa" w:w="2154"/>
          </w:tcPr>
          <w:p>
            <w:pPr>
              <w:keepNext/>
              <w:jc w:val="center"/>
            </w:pPr>
            <w:r/>
            <w:r>
              <w:rPr>
                <w:b/>
                <w:sz w:val="16"/>
              </w:rPr>
              <w:t>Comando o acción</w:t>
            </w:r>
          </w:p>
        </w:tc>
        <w:tc>
          <w:tcPr>
            <w:tcW w:type="dxa" w:w="2494"/>
          </w:tcPr>
          <w:p>
            <w:pPr>
              <w:keepNext/>
              <w:jc w:val="center"/>
            </w:pPr>
            <w:r/>
            <w:r>
              <w:rPr>
                <w:b/>
                <w:sz w:val="16"/>
              </w:rPr>
              <w:t>Resultado observado</w:t>
            </w:r>
          </w:p>
        </w:tc>
        <w:tc>
          <w:tcPr>
            <w:tcW w:type="dxa" w:w="1134"/>
          </w:tcPr>
          <w:p>
            <w:pPr>
              <w:keepNext/>
              <w:jc w:val="center"/>
            </w:pPr>
            <w:r/>
            <w:r>
              <w:rPr>
                <w:b/>
                <w:sz w:val="16"/>
              </w:rPr>
              <w:t>Requisito</w:t>
            </w:r>
          </w:p>
        </w:tc>
        <w:tc>
          <w:tcPr>
            <w:tcW w:type="dxa" w:w="1928"/>
          </w:tcPr>
          <w:p>
            <w:pPr>
              <w:keepNext/>
              <w:jc w:val="center"/>
            </w:pPr>
            <w:r/>
            <w:r>
              <w:rPr>
                <w:b/>
                <w:sz w:val="16"/>
              </w:rPr>
              <w:t>Estado</w:t>
            </w:r>
          </w:p>
        </w:tc>
      </w:tr>
      <w:tr>
        <w:trPr>
          <w:cantSplit w:val="true"/>
        </w:trPr>
        <w:tc>
          <w:tcPr>
            <w:tcW w:type="dxa" w:w="567"/>
          </w:tcPr>
          <w:p>
            <w:pPr>
              <w:keepNext/>
              <w:spacing w:after="20"/>
            </w:pPr>
            <w:r/>
            <w:r>
              <w:rPr>
                <w:sz w:val="16"/>
              </w:rPr>
              <w:t>E1</w:t>
            </w:r>
          </w:p>
        </w:tc>
        <w:tc>
          <w:tcPr>
            <w:tcW w:type="dxa" w:w="1587"/>
          </w:tcPr>
          <w:p>
            <w:pPr>
              <w:keepNext/>
              <w:spacing w:after="20"/>
            </w:pPr>
            <w:r/>
            <w:r>
              <w:rPr>
                <w:sz w:val="16"/>
              </w:rPr>
              <w:t>Instalación y prueba inicial</w:t>
            </w:r>
          </w:p>
        </w:tc>
        <w:tc>
          <w:tcPr>
            <w:tcW w:type="dxa" w:w="2154"/>
          </w:tcPr>
          <w:p>
            <w:pPr>
              <w:keepNext/>
              <w:spacing w:after="20"/>
            </w:pPr>
            <w:r/>
            <w:r>
              <w:rPr>
                <w:rFonts w:ascii="Consolas" w:hAnsi="Consolas" w:eastAsia="Consolas"/>
                <w:sz w:val="16"/>
              </w:rPr>
              <w:t>python -m pytest -v</w:t>
            </w:r>
            <w:r>
              <w:rPr>
                <w:sz w:val="16"/>
              </w:rPr>
              <w:t>; cobertura; Ruff</w:t>
            </w:r>
          </w:p>
        </w:tc>
        <w:tc>
          <w:tcPr>
            <w:tcW w:type="dxa" w:w="2494"/>
          </w:tcPr>
          <w:p>
            <w:pPr>
              <w:keepNext/>
              <w:spacing w:after="20"/>
            </w:pPr>
            <w:r/>
            <w:r>
              <w:rPr>
                <w:sz w:val="16"/>
              </w:rPr>
              <w:t xml:space="preserve">13/13; 98 %; 7 avisos de Ruff; fallo de </w:t>
            </w:r>
            <w:r>
              <w:rPr>
                <w:rFonts w:ascii="Consolas" w:hAnsi="Consolas" w:eastAsia="Consolas"/>
                <w:sz w:val="16"/>
              </w:rPr>
              <w:t>pytest</w:t>
            </w:r>
            <w:r>
              <w:rPr>
                <w:sz w:val="16"/>
              </w:rPr>
              <w:t xml:space="preserve"> directo. Revalidación 28/10: 69 + 1 xfail</w:t>
            </w:r>
          </w:p>
        </w:tc>
        <w:tc>
          <w:tcPr>
            <w:tcW w:type="dxa" w:w="1134"/>
          </w:tcPr>
          <w:p>
            <w:pPr>
              <w:keepNext/>
              <w:spacing w:after="20"/>
            </w:pPr>
            <w:r/>
            <w:r>
              <w:rPr>
                <w:sz w:val="16"/>
              </w:rPr>
              <w:t>5.1</w:t>
            </w:r>
          </w:p>
        </w:tc>
        <w:tc>
          <w:tcPr>
            <w:tcW w:type="dxa" w:w="1928"/>
          </w:tcPr>
          <w:p>
            <w:pPr>
              <w:keepNext/>
              <w:spacing w:after="20"/>
            </w:pPr>
            <w:r/>
            <w:r>
              <w:rPr>
                <w:sz w:val="16"/>
              </w:rPr>
              <w:t>Completa</w:t>
            </w:r>
          </w:p>
        </w:tc>
      </w:tr>
      <w:tr>
        <w:trPr>
          <w:cantSplit w:val="true"/>
        </w:trPr>
        <w:tc>
          <w:tcPr>
            <w:tcW w:type="dxa" w:w="567"/>
          </w:tcPr>
          <w:p>
            <w:pPr>
              <w:keepNext/>
              <w:spacing w:after="20"/>
            </w:pPr>
            <w:r/>
            <w:r>
              <w:rPr>
                <w:sz w:val="16"/>
              </w:rPr>
              <w:t>E2</w:t>
            </w:r>
          </w:p>
        </w:tc>
        <w:tc>
          <w:tcPr>
            <w:tcW w:type="dxa" w:w="1587"/>
          </w:tcPr>
          <w:p>
            <w:pPr>
              <w:keepNext/>
              <w:spacing w:after="20"/>
            </w:pPr>
            <w:r/>
            <w:r>
              <w:rPr>
                <w:sz w:val="16"/>
              </w:rPr>
              <w:t>VIP y regular; límites; CSV</w:t>
            </w:r>
          </w:p>
        </w:tc>
        <w:tc>
          <w:tcPr>
            <w:tcW w:type="dxa" w:w="2154"/>
          </w:tcPr>
          <w:p>
            <w:pPr>
              <w:keepNext/>
              <w:spacing w:after="20"/>
            </w:pPr>
            <w:r/>
            <w:r>
              <w:rPr>
                <w:rFonts w:ascii="Consolas" w:hAnsi="Consolas" w:eastAsia="Consolas"/>
                <w:sz w:val="16"/>
              </w:rPr>
              <w:t>pytest tests/test_order.py</w:t>
            </w:r>
            <w:r>
              <w:rPr>
                <w:sz w:val="16"/>
              </w:rPr>
              <w:t xml:space="preserve">, </w:t>
            </w:r>
            <w:r>
              <w:rPr>
                <w:rFonts w:ascii="Consolas" w:hAnsi="Consolas" w:eastAsia="Consolas"/>
                <w:sz w:val="16"/>
              </w:rPr>
              <w:t>test_casos_csv.py</w:t>
            </w:r>
          </w:p>
        </w:tc>
        <w:tc>
          <w:tcPr>
            <w:tcW w:type="dxa" w:w="2494"/>
          </w:tcPr>
          <w:p>
            <w:pPr>
              <w:keepNext/>
              <w:spacing w:after="20"/>
            </w:pPr>
            <w:r/>
            <w:r>
              <w:rPr>
                <w:sz w:val="16"/>
              </w:rPr>
              <w:t>16/16 y 15/15</w:t>
            </w:r>
          </w:p>
        </w:tc>
        <w:tc>
          <w:tcPr>
            <w:tcW w:type="dxa" w:w="1134"/>
          </w:tcPr>
          <w:p>
            <w:pPr>
              <w:keepNext/>
              <w:spacing w:after="20"/>
            </w:pPr>
            <w:r/>
            <w:r>
              <w:rPr>
                <w:sz w:val="16"/>
              </w:rPr>
              <w:t>5.2</w:t>
            </w:r>
          </w:p>
        </w:tc>
        <w:tc>
          <w:tcPr>
            <w:tcW w:type="dxa" w:w="1928"/>
          </w:tcPr>
          <w:p>
            <w:pPr>
              <w:keepNext/>
              <w:spacing w:after="20"/>
            </w:pPr>
            <w:r/>
            <w:r>
              <w:rPr>
                <w:sz w:val="16"/>
              </w:rPr>
              <w:t>Completa</w:t>
            </w:r>
          </w:p>
        </w:tc>
      </w:tr>
      <w:tr>
        <w:trPr>
          <w:cantSplit w:val="true"/>
        </w:trPr>
        <w:tc>
          <w:tcPr>
            <w:tcW w:type="dxa" w:w="567"/>
          </w:tcPr>
          <w:p>
            <w:pPr>
              <w:keepNext/>
              <w:spacing w:after="20"/>
            </w:pPr>
            <w:r/>
            <w:r>
              <w:rPr>
                <w:sz w:val="16"/>
              </w:rPr>
              <w:t>E3</w:t>
            </w:r>
          </w:p>
        </w:tc>
        <w:tc>
          <w:tcPr>
            <w:tcW w:type="dxa" w:w="1587"/>
          </w:tcPr>
          <w:p>
            <w:pPr>
              <w:keepNext/>
              <w:spacing w:after="20"/>
            </w:pPr>
            <w:r/>
            <w:r>
              <w:rPr>
                <w:sz w:val="16"/>
              </w:rPr>
              <w:t>TDD</w:t>
            </w:r>
          </w:p>
        </w:tc>
        <w:tc>
          <w:tcPr>
            <w:tcW w:type="dxa" w:w="2154"/>
          </w:tcPr>
          <w:p>
            <w:pPr>
              <w:keepNext/>
              <w:spacing w:after="20"/>
            </w:pPr>
            <w:r/>
            <w:r>
              <w:rPr>
                <w:sz w:val="16"/>
              </w:rPr>
              <w:t>RED, GREEN, suite, refactor</w:t>
            </w:r>
          </w:p>
        </w:tc>
        <w:tc>
          <w:tcPr>
            <w:tcW w:type="dxa" w:w="2494"/>
          </w:tcPr>
          <w:p>
            <w:pPr>
              <w:keepNext/>
              <w:spacing w:after="20"/>
            </w:pPr>
            <w:r/>
            <w:r>
              <w:rPr>
                <w:sz w:val="16"/>
              </w:rPr>
              <w:t xml:space="preserve">RED por </w:t>
            </w:r>
            <w:r>
              <w:rPr>
                <w:rFonts w:ascii="Consolas" w:hAnsi="Consolas" w:eastAsia="Consolas"/>
                <w:sz w:val="16"/>
              </w:rPr>
              <w:t>DID NOT RAISE</w:t>
            </w:r>
            <w:r>
              <w:rPr>
                <w:sz w:val="16"/>
              </w:rPr>
              <w:t>; GREEN; suite aprobada</w:t>
            </w:r>
          </w:p>
        </w:tc>
        <w:tc>
          <w:tcPr>
            <w:tcW w:type="dxa" w:w="1134"/>
          </w:tcPr>
          <w:p>
            <w:pPr>
              <w:keepNext/>
              <w:spacing w:after="20"/>
            </w:pPr>
            <w:r/>
            <w:r>
              <w:rPr>
                <w:sz w:val="16"/>
              </w:rPr>
              <w:t>5.3</w:t>
            </w:r>
          </w:p>
        </w:tc>
        <w:tc>
          <w:tcPr>
            <w:tcW w:type="dxa" w:w="1928"/>
          </w:tcPr>
          <w:p>
            <w:pPr>
              <w:keepNext/>
              <w:spacing w:after="20"/>
            </w:pPr>
            <w:r/>
            <w:r>
              <w:rPr>
                <w:sz w:val="16"/>
              </w:rPr>
              <w:t>Completa</w:t>
            </w:r>
          </w:p>
        </w:tc>
      </w:tr>
      <w:tr>
        <w:trPr>
          <w:cantSplit w:val="true"/>
        </w:trPr>
        <w:tc>
          <w:tcPr>
            <w:tcW w:type="dxa" w:w="567"/>
          </w:tcPr>
          <w:p>
            <w:pPr>
              <w:keepNext/>
              <w:spacing w:after="20"/>
            </w:pPr>
            <w:r/>
            <w:r>
              <w:rPr>
                <w:sz w:val="16"/>
              </w:rPr>
              <w:t>E4</w:t>
            </w:r>
          </w:p>
        </w:tc>
        <w:tc>
          <w:tcPr>
            <w:tcW w:type="dxa" w:w="1587"/>
          </w:tcPr>
          <w:p>
            <w:pPr>
              <w:keepNext/>
              <w:spacing w:after="20"/>
            </w:pPr>
            <w:r/>
            <w:r>
              <w:rPr>
                <w:sz w:val="16"/>
              </w:rPr>
              <w:t>Persistencia</w:t>
            </w:r>
          </w:p>
        </w:tc>
        <w:tc>
          <w:tcPr>
            <w:tcW w:type="dxa" w:w="2154"/>
          </w:tcPr>
          <w:p>
            <w:pPr>
              <w:keepNext/>
              <w:spacing w:after="20"/>
            </w:pPr>
            <w:r/>
            <w:r>
              <w:rPr>
                <w:rFonts w:ascii="Consolas" w:hAnsi="Consolas" w:eastAsia="Consolas"/>
                <w:sz w:val="16"/>
              </w:rPr>
              <w:t>pytest tests/test_repository.py</w:t>
            </w:r>
            <w:r>
              <w:rPr>
                <w:sz w:val="16"/>
              </w:rPr>
              <w:t>; prueba temporal con fuga</w:t>
            </w:r>
          </w:p>
        </w:tc>
        <w:tc>
          <w:tcPr>
            <w:tcW w:type="dxa" w:w="2494"/>
          </w:tcPr>
          <w:p>
            <w:pPr>
              <w:keepNext/>
              <w:spacing w:after="20"/>
            </w:pPr>
            <w:r/>
            <w:r>
              <w:rPr>
                <w:sz w:val="16"/>
              </w:rPr>
              <w:t>8/8; una conexión sin cerrar hace fallar la suite</w:t>
            </w:r>
          </w:p>
        </w:tc>
        <w:tc>
          <w:tcPr>
            <w:tcW w:type="dxa" w:w="1134"/>
          </w:tcPr>
          <w:p>
            <w:pPr>
              <w:keepNext/>
              <w:spacing w:after="20"/>
            </w:pPr>
            <w:r/>
            <w:r>
              <w:rPr>
                <w:sz w:val="16"/>
              </w:rPr>
              <w:t>5.4</w:t>
            </w:r>
          </w:p>
        </w:tc>
        <w:tc>
          <w:tcPr>
            <w:tcW w:type="dxa" w:w="1928"/>
          </w:tcPr>
          <w:p>
            <w:pPr>
              <w:keepNext/>
              <w:spacing w:after="20"/>
            </w:pPr>
            <w:r/>
            <w:r>
              <w:rPr>
                <w:sz w:val="16"/>
              </w:rPr>
              <w:t>Completa</w:t>
            </w:r>
          </w:p>
        </w:tc>
      </w:tr>
      <w:tr>
        <w:trPr>
          <w:cantSplit w:val="true"/>
        </w:trPr>
        <w:tc>
          <w:tcPr>
            <w:tcW w:type="dxa" w:w="567"/>
          </w:tcPr>
          <w:p>
            <w:pPr>
              <w:keepNext/>
              <w:spacing w:after="20"/>
            </w:pPr>
            <w:r/>
            <w:r>
              <w:rPr>
                <w:sz w:val="16"/>
              </w:rPr>
              <w:t>E5</w:t>
            </w:r>
          </w:p>
        </w:tc>
        <w:tc>
          <w:tcPr>
            <w:tcW w:type="dxa" w:w="1587"/>
          </w:tcPr>
          <w:p>
            <w:pPr>
              <w:keepNext/>
              <w:spacing w:after="20"/>
            </w:pPr>
            <w:r/>
            <w:r>
              <w:rPr>
                <w:sz w:val="16"/>
              </w:rPr>
              <w:t>Mocks</w:t>
            </w:r>
          </w:p>
        </w:tc>
        <w:tc>
          <w:tcPr>
            <w:tcW w:type="dxa" w:w="2154"/>
          </w:tcPr>
          <w:p>
            <w:pPr>
              <w:keepNext/>
              <w:spacing w:after="20"/>
            </w:pPr>
            <w:r/>
            <w:r>
              <w:rPr>
                <w:rFonts w:ascii="Consolas" w:hAnsi="Consolas" w:eastAsia="Consolas"/>
                <w:sz w:val="16"/>
              </w:rPr>
              <w:t>pytest tests/test_service.py -rxX</w:t>
            </w:r>
            <w:r>
              <w:rPr>
                <w:sz w:val="16"/>
              </w:rPr>
              <w:t xml:space="preserve">; </w:t>
            </w:r>
            <w:r>
              <w:rPr>
                <w:rFonts w:ascii="Consolas" w:hAnsi="Consolas" w:eastAsia="Consolas"/>
                <w:sz w:val="16"/>
              </w:rPr>
              <w:t>--runxfail</w:t>
            </w:r>
          </w:p>
        </w:tc>
        <w:tc>
          <w:tcPr>
            <w:tcW w:type="dxa" w:w="2494"/>
          </w:tcPr>
          <w:p>
            <w:pPr>
              <w:keepNext/>
              <w:spacing w:after="20"/>
            </w:pPr>
            <w:r/>
            <w:r>
              <w:rPr>
                <w:sz w:val="16"/>
              </w:rPr>
              <w:t>7 aprobadas, 1 xfail con su causa verificada</w:t>
            </w:r>
          </w:p>
        </w:tc>
        <w:tc>
          <w:tcPr>
            <w:tcW w:type="dxa" w:w="1134"/>
          </w:tcPr>
          <w:p>
            <w:pPr>
              <w:keepNext/>
              <w:spacing w:after="20"/>
            </w:pPr>
            <w:r/>
            <w:r>
              <w:rPr>
                <w:sz w:val="16"/>
              </w:rPr>
              <w:t>5.5</w:t>
            </w:r>
          </w:p>
        </w:tc>
        <w:tc>
          <w:tcPr>
            <w:tcW w:type="dxa" w:w="1928"/>
          </w:tcPr>
          <w:p>
            <w:pPr>
              <w:keepNext/>
              <w:spacing w:after="20"/>
            </w:pPr>
            <w:r/>
            <w:r>
              <w:rPr>
                <w:sz w:val="16"/>
              </w:rPr>
              <w:t>Completa</w:t>
            </w:r>
          </w:p>
        </w:tc>
      </w:tr>
      <w:tr>
        <w:trPr>
          <w:cantSplit w:val="true"/>
        </w:trPr>
        <w:tc>
          <w:tcPr>
            <w:tcW w:type="dxa" w:w="567"/>
          </w:tcPr>
          <w:p>
            <w:pPr>
              <w:keepNext/>
              <w:spacing w:after="20"/>
            </w:pPr>
            <w:r/>
            <w:r>
              <w:rPr>
                <w:sz w:val="16"/>
              </w:rPr>
              <w:t>E6</w:t>
            </w:r>
          </w:p>
        </w:tc>
        <w:tc>
          <w:tcPr>
            <w:tcW w:type="dxa" w:w="1587"/>
          </w:tcPr>
          <w:p>
            <w:pPr>
              <w:keepNext/>
              <w:spacing w:after="20"/>
            </w:pPr>
            <w:r/>
            <w:r>
              <w:rPr>
                <w:sz w:val="16"/>
              </w:rPr>
              <w:t>Autorización</w:t>
            </w:r>
          </w:p>
        </w:tc>
        <w:tc>
          <w:tcPr>
            <w:tcW w:type="dxa" w:w="2154"/>
          </w:tcPr>
          <w:p>
            <w:pPr>
              <w:keepNext/>
              <w:spacing w:after="20"/>
            </w:pPr>
            <w:r/>
            <w:r>
              <w:rPr>
                <w:rFonts w:ascii="Consolas" w:hAnsi="Consolas" w:eastAsia="Consolas"/>
                <w:sz w:val="16"/>
              </w:rPr>
              <w:t>pytest tests/test_security.py</w:t>
            </w:r>
          </w:p>
        </w:tc>
        <w:tc>
          <w:tcPr>
            <w:tcW w:type="dxa" w:w="2494"/>
          </w:tcPr>
          <w:p>
            <w:pPr>
              <w:keepNext/>
              <w:spacing w:after="20"/>
            </w:pPr>
            <w:r/>
            <w:r>
              <w:rPr>
                <w:sz w:val="16"/>
              </w:rPr>
              <w:t>20/20</w:t>
            </w:r>
          </w:p>
        </w:tc>
        <w:tc>
          <w:tcPr>
            <w:tcW w:type="dxa" w:w="1134"/>
          </w:tcPr>
          <w:p>
            <w:pPr>
              <w:keepNext/>
              <w:spacing w:after="20"/>
            </w:pPr>
            <w:r/>
            <w:r>
              <w:rPr>
                <w:sz w:val="16"/>
              </w:rPr>
              <w:t>5.6</w:t>
            </w:r>
          </w:p>
        </w:tc>
        <w:tc>
          <w:tcPr>
            <w:tcW w:type="dxa" w:w="1928"/>
          </w:tcPr>
          <w:p>
            <w:pPr>
              <w:keepNext/>
              <w:spacing w:after="20"/>
            </w:pPr>
            <w:r/>
            <w:r>
              <w:rPr>
                <w:sz w:val="16"/>
              </w:rPr>
              <w:t>Completa</w:t>
            </w:r>
          </w:p>
        </w:tc>
      </w:tr>
      <w:tr>
        <w:trPr>
          <w:cantSplit w:val="true"/>
        </w:trPr>
        <w:tc>
          <w:tcPr>
            <w:tcW w:type="dxa" w:w="567"/>
          </w:tcPr>
          <w:p>
            <w:pPr>
              <w:keepNext/>
              <w:spacing w:after="20"/>
            </w:pPr>
            <w:r/>
            <w:r>
              <w:rPr>
                <w:sz w:val="16"/>
              </w:rPr>
              <w:t>E7</w:t>
            </w:r>
          </w:p>
        </w:tc>
        <w:tc>
          <w:tcPr>
            <w:tcW w:type="dxa" w:w="1587"/>
          </w:tcPr>
          <w:p>
            <w:pPr>
              <w:keepNext/>
              <w:spacing w:after="20"/>
            </w:pPr>
            <w:r/>
            <w:r>
              <w:rPr>
                <w:sz w:val="16"/>
              </w:rPr>
              <w:t>Ruff, cobertura, HTML</w:t>
            </w:r>
          </w:p>
        </w:tc>
        <w:tc>
          <w:tcPr>
            <w:tcW w:type="dxa" w:w="2154"/>
          </w:tcPr>
          <w:p>
            <w:pPr>
              <w:keepNext/>
              <w:spacing w:after="20"/>
            </w:pPr>
            <w:r/>
            <w:r>
              <w:rPr>
                <w:sz w:val="16"/>
              </w:rPr>
              <w:t>Ruff, pytest-cov, compileall (27/10 y 28/10)</w:t>
            </w:r>
          </w:p>
        </w:tc>
        <w:tc>
          <w:tcPr>
            <w:tcW w:type="dxa" w:w="2494"/>
          </w:tcPr>
          <w:p>
            <w:pPr>
              <w:keepNext/>
              <w:spacing w:after="20"/>
            </w:pPr>
            <w:r/>
            <w:r>
              <w:rPr>
                <w:sz w:val="16"/>
              </w:rPr>
              <w:t>Sin errores; 100 %; HTML generado</w:t>
            </w:r>
          </w:p>
        </w:tc>
        <w:tc>
          <w:tcPr>
            <w:tcW w:type="dxa" w:w="1134"/>
          </w:tcPr>
          <w:p>
            <w:pPr>
              <w:keepNext/>
              <w:spacing w:after="20"/>
            </w:pPr>
            <w:r/>
            <w:r>
              <w:rPr>
                <w:sz w:val="16"/>
              </w:rPr>
              <w:t>5.7</w:t>
            </w:r>
          </w:p>
        </w:tc>
        <w:tc>
          <w:tcPr>
            <w:tcW w:type="dxa" w:w="1928"/>
          </w:tcPr>
          <w:p>
            <w:pPr>
              <w:keepNext/>
              <w:spacing w:after="20"/>
            </w:pPr>
            <w:r/>
            <w:r>
              <w:rPr>
                <w:sz w:val="16"/>
              </w:rPr>
              <w:t>Completa</w:t>
            </w:r>
          </w:p>
        </w:tc>
      </w:tr>
      <w:tr>
        <w:trPr>
          <w:cantSplit w:val="true"/>
        </w:trPr>
        <w:tc>
          <w:tcPr>
            <w:tcW w:type="dxa" w:w="567"/>
          </w:tcPr>
          <w:p>
            <w:pPr>
              <w:keepNext/>
              <w:spacing w:after="20"/>
            </w:pPr>
            <w:r/>
            <w:r>
              <w:rPr>
                <w:sz w:val="16"/>
              </w:rPr>
              <w:t>E8</w:t>
            </w:r>
          </w:p>
        </w:tc>
        <w:tc>
          <w:tcPr>
            <w:tcW w:type="dxa" w:w="1587"/>
          </w:tcPr>
          <w:p>
            <w:pPr>
              <w:keepNext/>
              <w:spacing w:after="20"/>
            </w:pPr>
            <w:r/>
            <w:r>
              <w:rPr>
                <w:sz w:val="16"/>
              </w:rPr>
              <w:t>GitHub Actions</w:t>
            </w:r>
          </w:p>
        </w:tc>
        <w:tc>
          <w:tcPr>
            <w:tcW w:type="dxa" w:w="2154"/>
          </w:tcPr>
          <w:p>
            <w:pPr>
              <w:keepNext/>
              <w:spacing w:after="20"/>
            </w:pPr>
            <w:r/>
            <w:r>
              <w:rPr>
                <w:sz w:val="16"/>
              </w:rPr>
              <w:t>actionlint; simulación local</w:t>
            </w:r>
          </w:p>
        </w:tc>
        <w:tc>
          <w:tcPr>
            <w:tcW w:type="dxa" w:w="2494"/>
          </w:tcPr>
          <w:p>
            <w:pPr>
              <w:keepNext/>
              <w:spacing w:after="20"/>
            </w:pPr>
            <w:r/>
            <w:r>
              <w:rPr>
                <w:sz w:val="16"/>
              </w:rPr>
              <w:t>YAML válido; local verde → rojo → verde</w:t>
            </w:r>
          </w:p>
        </w:tc>
        <w:tc>
          <w:tcPr>
            <w:tcW w:type="dxa" w:w="1134"/>
          </w:tcPr>
          <w:p>
            <w:pPr>
              <w:keepNext/>
              <w:spacing w:after="20"/>
            </w:pPr>
            <w:r/>
            <w:r>
              <w:rPr>
                <w:sz w:val="16"/>
              </w:rPr>
              <w:t>5.8</w:t>
            </w:r>
          </w:p>
        </w:tc>
        <w:tc>
          <w:tcPr>
            <w:tcW w:type="dxa" w:w="1928"/>
          </w:tcPr>
          <w:p>
            <w:pPr>
              <w:keepNext/>
              <w:spacing w:after="20"/>
            </w:pPr>
            <w:r/>
            <w:r>
              <w:rPr>
                <w:b/>
                <w:sz w:val="16"/>
              </w:rPr>
              <w:t>Pendiente en GitHub</w:t>
            </w:r>
          </w:p>
        </w:tc>
      </w:tr>
      <w:tr>
        <w:trPr>
          <w:cantSplit w:val="true"/>
        </w:trPr>
        <w:tc>
          <w:tcPr>
            <w:tcW w:type="dxa" w:w="567"/>
          </w:tcPr>
          <w:p>
            <w:pPr>
              <w:spacing w:after="20"/>
            </w:pPr>
            <w:r/>
            <w:r>
              <w:rPr>
                <w:sz w:val="16"/>
              </w:rPr>
              <w:t>E9</w:t>
            </w:r>
          </w:p>
        </w:tc>
        <w:tc>
          <w:tcPr>
            <w:tcW w:type="dxa" w:w="1587"/>
          </w:tcPr>
          <w:p>
            <w:pPr>
              <w:spacing w:after="20"/>
            </w:pPr>
            <w:r/>
            <w:r>
              <w:rPr>
                <w:sz w:val="16"/>
              </w:rPr>
              <w:t>PIA Eventos Nova</w:t>
            </w:r>
          </w:p>
        </w:tc>
        <w:tc>
          <w:tcPr>
            <w:tcW w:type="dxa" w:w="2154"/>
          </w:tcPr>
          <w:p>
            <w:pPr>
              <w:spacing w:after="20"/>
            </w:pPr>
            <w:r/>
            <w:r>
              <w:rPr>
                <w:sz w:val="16"/>
              </w:rPr>
              <w:t xml:space="preserve">Diagnóstico v1; RED/GREEN U5-H1; </w:t>
            </w:r>
            <w:r>
              <w:rPr>
                <w:rFonts w:ascii="Consolas" w:hAnsi="Consolas" w:eastAsia="Consolas"/>
                <w:sz w:val="16"/>
              </w:rPr>
              <w:t>pytest tests_u5</w:t>
            </w:r>
            <w:r>
              <w:rPr>
                <w:sz w:val="16"/>
              </w:rPr>
              <w:t>; suite del equipo; cobertura combinada</w:t>
            </w:r>
          </w:p>
        </w:tc>
        <w:tc>
          <w:tcPr>
            <w:tcW w:type="dxa" w:w="2494"/>
          </w:tcPr>
          <w:p>
            <w:pPr>
              <w:spacing w:after="20"/>
            </w:pPr>
            <w:r/>
            <w:r>
              <w:rPr>
                <w:sz w:val="16"/>
              </w:rPr>
              <w:t>22/22; 1 306 del equipo con 1 fallo de entorno; 98.83 %</w:t>
            </w:r>
          </w:p>
        </w:tc>
        <w:tc>
          <w:tcPr>
            <w:tcW w:type="dxa" w:w="1134"/>
          </w:tcPr>
          <w:p>
            <w:pPr>
              <w:spacing w:after="20"/>
            </w:pPr>
            <w:r/>
            <w:r>
              <w:rPr>
                <w:sz w:val="16"/>
              </w:rPr>
              <w:t>6</w:t>
            </w:r>
          </w:p>
        </w:tc>
        <w:tc>
          <w:tcPr>
            <w:tcW w:type="dxa" w:w="1928"/>
          </w:tcPr>
          <w:p>
            <w:pPr>
              <w:spacing w:after="20"/>
            </w:pPr>
            <w:r/>
            <w:r>
              <w:rPr>
                <w:sz w:val="16"/>
              </w:rPr>
              <w:t>Completa (local); integración al repositorio del equipo pendiente</w:t>
            </w:r>
          </w:p>
        </w:tc>
      </w:tr>
    </w:tbl>
    <w:p>
      <w:pPr>
        <w:spacing w:before="0" w:after="40" w:line="276" w:lineRule="auto"/>
        <w:jc w:val="both"/>
      </w:pPr>
    </w:p>
    <w:p>
      <w:pPr>
        <w:keepNext/>
        <w:spacing w:before="120"/>
        <w:jc w:val="center"/>
      </w:pPr>
      <w:r>
        <w:drawing>
          <wp:inline xmlns:a="http://schemas.openxmlformats.org/drawingml/2006/main" xmlns:pic="http://schemas.openxmlformats.org/drawingml/2006/picture">
            <wp:extent cx="5580000" cy="1195939"/>
            <wp:docPr id="19" name="Picture 19"/>
            <wp:cNvGraphicFramePr>
              <a:graphicFrameLocks noChangeAspect="1"/>
            </wp:cNvGraphicFramePr>
            <a:graphic>
              <a:graphicData uri="http://schemas.openxmlformats.org/drawingml/2006/picture">
                <pic:pic>
                  <pic:nvPicPr>
                    <pic:cNvPr id="0" name="E1_03_ruff_inicial_l134-141.png"/>
                    <pic:cNvPicPr/>
                  </pic:nvPicPr>
                  <pic:blipFill>
                    <a:blip r:embed="rId36"/>
                    <a:stretch>
                      <a:fillRect/>
                    </a:stretch>
                  </pic:blipFill>
                  <pic:spPr>
                    <a:xfrm>
                      <a:off x="0" y="0"/>
                      <a:ext cx="5580000" cy="1195939"/>
                    </a:xfrm>
                    <a:prstGeom prst="rect"/>
                  </pic:spPr>
                </pic:pic>
              </a:graphicData>
            </a:graphic>
          </wp:inline>
        </w:drawing>
      </w:r>
    </w:p>
    <w:p>
      <w:pPr>
        <w:spacing w:before="80" w:after="120" w:line="276" w:lineRule="auto"/>
        <w:jc w:val="center"/>
      </w:pPr>
      <w:r>
        <w:rPr>
          <w:b/>
          <w:sz w:val="19"/>
        </w:rPr>
        <w:t xml:space="preserve">Figura 19. </w:t>
      </w:r>
      <w:r>
        <w:rPr>
          <w:sz w:val="19"/>
        </w:rPr>
        <w:t>E1: Ruff sobre el código original reporta 7 errores corregibles.</w:t>
      </w:r>
    </w:p>
    <w:p>
      <w:pPr>
        <w:keepNext/>
        <w:spacing w:before="120"/>
        <w:jc w:val="center"/>
      </w:pPr>
      <w:r>
        <w:drawing>
          <wp:inline xmlns:a="http://schemas.openxmlformats.org/drawingml/2006/main" xmlns:pic="http://schemas.openxmlformats.org/drawingml/2006/picture">
            <wp:extent cx="5580000" cy="2634213"/>
            <wp:docPr id="20" name="Picture 20"/>
            <wp:cNvGraphicFramePr>
              <a:graphicFrameLocks noChangeAspect="1"/>
            </wp:cNvGraphicFramePr>
            <a:graphic>
              <a:graphicData uri="http://schemas.openxmlformats.org/drawingml/2006/picture">
                <pic:pic>
                  <pic:nvPicPr>
                    <pic:cNvPr id="0" name="E2_02_pytest_casos_csv.png"/>
                    <pic:cNvPicPr/>
                  </pic:nvPicPr>
                  <pic:blipFill>
                    <a:blip r:embed="rId37"/>
                    <a:stretch>
                      <a:fillRect/>
                    </a:stretch>
                  </pic:blipFill>
                  <pic:spPr>
                    <a:xfrm>
                      <a:off x="0" y="0"/>
                      <a:ext cx="5580000" cy="2634213"/>
                    </a:xfrm>
                    <a:prstGeom prst="rect"/>
                  </pic:spPr>
                </pic:pic>
              </a:graphicData>
            </a:graphic>
          </wp:inline>
        </w:drawing>
      </w:r>
    </w:p>
    <w:p>
      <w:pPr>
        <w:spacing w:before="80" w:after="120" w:line="276" w:lineRule="auto"/>
        <w:jc w:val="center"/>
      </w:pPr>
      <w:r>
        <w:rPr>
          <w:b/>
          <w:sz w:val="19"/>
        </w:rPr>
        <w:t xml:space="preserve">Figura 20. </w:t>
      </w:r>
      <w:r>
        <w:rPr>
          <w:sz w:val="19"/>
        </w:rPr>
        <w:t>E2: casos CP01–CP15 del profesor leídos desde CSV.</w:t>
      </w:r>
    </w:p>
    <w:p>
      <w:pPr>
        <w:keepNext/>
        <w:spacing w:before="120"/>
        <w:jc w:val="center"/>
      </w:pPr>
      <w:r>
        <w:drawing>
          <wp:inline xmlns:a="http://schemas.openxmlformats.org/drawingml/2006/main" xmlns:pic="http://schemas.openxmlformats.org/drawingml/2006/picture">
            <wp:extent cx="5580000" cy="1365888"/>
            <wp:docPr id="21" name="Picture 21"/>
            <wp:cNvGraphicFramePr>
              <a:graphicFrameLocks noChangeAspect="1"/>
            </wp:cNvGraphicFramePr>
            <a:graphic>
              <a:graphicData uri="http://schemas.openxmlformats.org/drawingml/2006/picture">
                <pic:pic>
                  <pic:nvPicPr>
                    <pic:cNvPr id="0" name="E3_02_GREEN_cambio.png"/>
                    <pic:cNvPicPr/>
                  </pic:nvPicPr>
                  <pic:blipFill>
                    <a:blip r:embed="rId38"/>
                    <a:stretch>
                      <a:fillRect/>
                    </a:stretch>
                  </pic:blipFill>
                  <pic:spPr>
                    <a:xfrm>
                      <a:off x="0" y="0"/>
                      <a:ext cx="5580000" cy="1365888"/>
                    </a:xfrm>
                    <a:prstGeom prst="rect"/>
                  </pic:spPr>
                </pic:pic>
              </a:graphicData>
            </a:graphic>
          </wp:inline>
        </w:drawing>
      </w:r>
    </w:p>
    <w:p>
      <w:pPr>
        <w:spacing w:before="80" w:after="120" w:line="276" w:lineRule="auto"/>
        <w:jc w:val="center"/>
      </w:pPr>
      <w:r>
        <w:rPr>
          <w:b/>
          <w:sz w:val="19"/>
        </w:rPr>
        <w:t xml:space="preserve">Figura 21. </w:t>
      </w:r>
      <w:r>
        <w:rPr>
          <w:sz w:val="19"/>
        </w:rPr>
        <w:t>E3: cambio mínimo de la fase GREEN (diff).</w:t>
      </w:r>
    </w:p>
    <w:p>
      <w:pPr>
        <w:keepNext/>
        <w:spacing w:before="120"/>
        <w:jc w:val="center"/>
      </w:pPr>
      <w:r>
        <w:drawing>
          <wp:inline xmlns:a="http://schemas.openxmlformats.org/drawingml/2006/main" xmlns:pic="http://schemas.openxmlformats.org/drawingml/2006/picture">
            <wp:extent cx="4860000" cy="3122550"/>
            <wp:docPr id="22" name="Picture 22"/>
            <wp:cNvGraphicFramePr>
              <a:graphicFrameLocks noChangeAspect="1"/>
            </wp:cNvGraphicFramePr>
            <a:graphic>
              <a:graphicData uri="http://schemas.openxmlformats.org/drawingml/2006/picture">
                <pic:pic>
                  <pic:nvPicPr>
                    <pic:cNvPr id="0" name="E7_06_htmlcov_domain_py.png"/>
                    <pic:cNvPicPr/>
                  </pic:nvPicPr>
                  <pic:blipFill>
                    <a:blip r:embed="rId39"/>
                    <a:stretch>
                      <a:fillRect/>
                    </a:stretch>
                  </pic:blipFill>
                  <pic:spPr>
                    <a:xfrm>
                      <a:off x="0" y="0"/>
                      <a:ext cx="4860000" cy="3122550"/>
                    </a:xfrm>
                    <a:prstGeom prst="rect"/>
                  </pic:spPr>
                </pic:pic>
              </a:graphicData>
            </a:graphic>
          </wp:inline>
        </w:drawing>
      </w:r>
    </w:p>
    <w:p>
      <w:pPr>
        <w:spacing w:before="80" w:after="120" w:line="276" w:lineRule="auto"/>
        <w:jc w:val="center"/>
      </w:pPr>
      <w:r>
        <w:rPr>
          <w:b/>
          <w:sz w:val="19"/>
        </w:rPr>
        <w:t xml:space="preserve">Figura 22. </w:t>
      </w:r>
      <w:r>
        <w:rPr>
          <w:sz w:val="19"/>
        </w:rPr>
        <w:t xml:space="preserve">E7: detalle de </w:t>
      </w:r>
      <w:r>
        <w:rPr>
          <w:rFonts w:ascii="Consolas" w:hAnsi="Consolas" w:eastAsia="Consolas"/>
          <w:sz w:val="18"/>
        </w:rPr>
        <w:t>src/domain.py</w:t>
      </w:r>
      <w:r>
        <w:rPr>
          <w:sz w:val="19"/>
        </w:rPr>
        <w:t xml:space="preserve"> en el reporte HTML; todas las líneas ejecutadas.</w:t>
      </w:r>
    </w:p>
    <w:p>
      <w:pPr>
        <w:keepNext/>
        <w:spacing w:before="120"/>
        <w:jc w:val="center"/>
      </w:pPr>
      <w:r>
        <w:drawing>
          <wp:inline xmlns:a="http://schemas.openxmlformats.org/drawingml/2006/main" xmlns:pic="http://schemas.openxmlformats.org/drawingml/2006/picture">
            <wp:extent cx="5580000" cy="1025990"/>
            <wp:docPr id="23" name="Picture 23"/>
            <wp:cNvGraphicFramePr>
              <a:graphicFrameLocks noChangeAspect="1"/>
            </wp:cNvGraphicFramePr>
            <a:graphic>
              <a:graphicData uri="http://schemas.openxmlformats.org/drawingml/2006/picture">
                <pic:pic>
                  <pic:nvPicPr>
                    <pic:cNvPr id="0" name="E8_01_actionlint.png"/>
                    <pic:cNvPicPr/>
                  </pic:nvPicPr>
                  <pic:blipFill>
                    <a:blip r:embed="rId40"/>
                    <a:stretch>
                      <a:fillRect/>
                    </a:stretch>
                  </pic:blipFill>
                  <pic:spPr>
                    <a:xfrm>
                      <a:off x="0" y="0"/>
                      <a:ext cx="5580000" cy="1025990"/>
                    </a:xfrm>
                    <a:prstGeom prst="rect"/>
                  </pic:spPr>
                </pic:pic>
              </a:graphicData>
            </a:graphic>
          </wp:inline>
        </w:drawing>
      </w:r>
    </w:p>
    <w:p>
      <w:pPr>
        <w:spacing w:before="80" w:after="120" w:line="276" w:lineRule="auto"/>
        <w:jc w:val="center"/>
      </w:pPr>
      <w:r>
        <w:rPr>
          <w:b/>
          <w:sz w:val="19"/>
        </w:rPr>
        <w:t xml:space="preserve">Figura 23. </w:t>
      </w:r>
      <w:r>
        <w:rPr>
          <w:sz w:val="19"/>
        </w:rPr>
        <w:t>E8: validación del workflow con actionlint.</w:t>
      </w:r>
    </w:p>
    <w:p>
      <w:pPr>
        <w:keepNext/>
        <w:spacing w:before="120"/>
        <w:jc w:val="center"/>
      </w:pPr>
      <w:r>
        <w:drawing>
          <wp:inline xmlns:a="http://schemas.openxmlformats.org/drawingml/2006/main" xmlns:pic="http://schemas.openxmlformats.org/drawingml/2006/picture">
            <wp:extent cx="5580000" cy="1365888"/>
            <wp:docPr id="24" name="Picture 24"/>
            <wp:cNvGraphicFramePr>
              <a:graphicFrameLocks noChangeAspect="1"/>
            </wp:cNvGraphicFramePr>
            <a:graphic>
              <a:graphicData uri="http://schemas.openxmlformats.org/drawingml/2006/picture">
                <pic:pic>
                  <pic:nvPicPr>
                    <pic:cNvPr id="0" name="E4_02_deteccion_conexion_sin_cerrar_20261028_l1-12.png"/>
                    <pic:cNvPicPr/>
                  </pic:nvPicPr>
                  <pic:blipFill>
                    <a:blip r:embed="rId41"/>
                    <a:stretch>
                      <a:fillRect/>
                    </a:stretch>
                  </pic:blipFill>
                  <pic:spPr>
                    <a:xfrm>
                      <a:off x="0" y="0"/>
                      <a:ext cx="5580000" cy="1365888"/>
                    </a:xfrm>
                    <a:prstGeom prst="rect"/>
                  </pic:spPr>
                </pic:pic>
              </a:graphicData>
            </a:graphic>
          </wp:inline>
        </w:drawing>
      </w:r>
    </w:p>
    <w:p>
      <w:pPr>
        <w:spacing w:before="80" w:after="120" w:line="276" w:lineRule="auto"/>
        <w:jc w:val="center"/>
      </w:pPr>
      <w:r>
        <w:rPr>
          <w:b/>
          <w:sz w:val="19"/>
        </w:rPr>
        <w:t xml:space="preserve">Figura 24. </w:t>
      </w:r>
      <w:r>
        <w:rPr>
          <w:sz w:val="19"/>
        </w:rPr>
        <w:t>E4: una prueba temporal que no libera el motor SQLite hace fallar la suite (28/10/2026).</w:t>
      </w:r>
    </w:p>
    <w:p>
      <w:pPr>
        <w:keepNext/>
        <w:spacing w:before="120"/>
        <w:jc w:val="center"/>
      </w:pPr>
      <w:r>
        <w:drawing>
          <wp:inline xmlns:a="http://schemas.openxmlformats.org/drawingml/2006/main" xmlns:pic="http://schemas.openxmlformats.org/drawingml/2006/picture">
            <wp:extent cx="5580000" cy="2124365"/>
            <wp:docPr id="25" name="Picture 25"/>
            <wp:cNvGraphicFramePr>
              <a:graphicFrameLocks noChangeAspect="1"/>
            </wp:cNvGraphicFramePr>
            <a:graphic>
              <a:graphicData uri="http://schemas.openxmlformats.org/drawingml/2006/picture">
                <pic:pic>
                  <pic:nvPicPr>
                    <pic:cNvPr id="0" name="E5_02_causa_xfail_runxfail_20261028.png"/>
                    <pic:cNvPicPr/>
                  </pic:nvPicPr>
                  <pic:blipFill>
                    <a:blip r:embed="rId42"/>
                    <a:stretch>
                      <a:fillRect/>
                    </a:stretch>
                  </pic:blipFill>
                  <pic:spPr>
                    <a:xfrm>
                      <a:off x="0" y="0"/>
                      <a:ext cx="5580000" cy="2124365"/>
                    </a:xfrm>
                    <a:prstGeom prst="rect"/>
                  </pic:spPr>
                </pic:pic>
              </a:graphicData>
            </a:graphic>
          </wp:inline>
        </w:drawing>
      </w:r>
    </w:p>
    <w:p>
      <w:pPr>
        <w:spacing w:before="80" w:after="120" w:line="276" w:lineRule="auto"/>
        <w:jc w:val="center"/>
      </w:pPr>
      <w:r>
        <w:rPr>
          <w:b/>
          <w:sz w:val="19"/>
        </w:rPr>
        <w:t xml:space="preserve">Figura 25. </w:t>
      </w:r>
      <w:r>
        <w:rPr>
          <w:sz w:val="19"/>
        </w:rPr>
        <w:t xml:space="preserve">E5: con </w:t>
      </w:r>
      <w:r>
        <w:rPr>
          <w:rFonts w:ascii="Consolas" w:hAnsi="Consolas" w:eastAsia="Consolas"/>
          <w:sz w:val="18"/>
        </w:rPr>
        <w:t>--runxfail</w:t>
      </w:r>
      <w:r>
        <w:rPr>
          <w:sz w:val="19"/>
        </w:rPr>
        <w:t>, LAB-27 falla en la aserción del estado, la causa documentada (28/10/2026).</w:t>
      </w:r>
    </w:p>
    <w:p>
      <w:pPr>
        <w:keepNext/>
        <w:spacing w:before="120"/>
        <w:jc w:val="center"/>
      </w:pPr>
      <w:r>
        <w:drawing>
          <wp:inline xmlns:a="http://schemas.openxmlformats.org/drawingml/2006/main" xmlns:pic="http://schemas.openxmlformats.org/drawingml/2006/picture">
            <wp:extent cx="5580000" cy="1365888"/>
            <wp:docPr id="26" name="Picture 26"/>
            <wp:cNvGraphicFramePr>
              <a:graphicFrameLocks noChangeAspect="1"/>
            </wp:cNvGraphicFramePr>
            <a:graphic>
              <a:graphicData uri="http://schemas.openxmlformats.org/drawingml/2006/picture">
                <pic:pic>
                  <pic:nvPicPr>
                    <pic:cNvPr id="0" name="E9_12_U5H1_GREEN_20261028.png"/>
                    <pic:cNvPicPr/>
                  </pic:nvPicPr>
                  <pic:blipFill>
                    <a:blip r:embed="rId43"/>
                    <a:stretch>
                      <a:fillRect/>
                    </a:stretch>
                  </pic:blipFill>
                  <pic:spPr>
                    <a:xfrm>
                      <a:off x="0" y="0"/>
                      <a:ext cx="5580000" cy="1365888"/>
                    </a:xfrm>
                    <a:prstGeom prst="rect"/>
                  </pic:spPr>
                </pic:pic>
              </a:graphicData>
            </a:graphic>
          </wp:inline>
        </w:drawing>
      </w:r>
    </w:p>
    <w:p>
      <w:pPr>
        <w:spacing w:before="80" w:after="120" w:line="276" w:lineRule="auto"/>
        <w:jc w:val="center"/>
      </w:pPr>
      <w:r>
        <w:rPr>
          <w:b/>
          <w:sz w:val="19"/>
        </w:rPr>
        <w:t xml:space="preserve">Figura 26. </w:t>
      </w:r>
      <w:r>
        <w:rPr>
          <w:sz w:val="19"/>
        </w:rPr>
        <w:t>E9: GREEN de U5-H1 tras la corrección (28/10/2026).</w:t>
      </w:r>
    </w:p>
    <w:p>
      <w:pPr>
        <w:keepNext/>
        <w:spacing w:before="120"/>
        <w:jc w:val="center"/>
      </w:pPr>
      <w:r>
        <w:drawing>
          <wp:inline xmlns:a="http://schemas.openxmlformats.org/drawingml/2006/main" xmlns:pic="http://schemas.openxmlformats.org/drawingml/2006/picture">
            <wp:extent cx="5940000" cy="1273096"/>
            <wp:docPr id="27" name="Picture 27"/>
            <wp:cNvGraphicFramePr>
              <a:graphicFrameLocks noChangeAspect="1"/>
            </wp:cNvGraphicFramePr>
            <a:graphic>
              <a:graphicData uri="http://schemas.openxmlformats.org/drawingml/2006/picture">
                <pic:pic>
                  <pic:nvPicPr>
                    <pic:cNvPr id="0" name="E9_18_mensaje_si_falta_codigo_PIA_20261028.png"/>
                    <pic:cNvPicPr/>
                  </pic:nvPicPr>
                  <pic:blipFill>
                    <a:blip r:embed="rId44"/>
                    <a:stretch>
                      <a:fillRect/>
                    </a:stretch>
                  </pic:blipFill>
                  <pic:spPr>
                    <a:xfrm>
                      <a:off x="0" y="0"/>
                      <a:ext cx="5940000" cy="1273096"/>
                    </a:xfrm>
                    <a:prstGeom prst="rect"/>
                  </pic:spPr>
                </pic:pic>
              </a:graphicData>
            </a:graphic>
          </wp:inline>
        </w:drawing>
      </w:r>
    </w:p>
    <w:p>
      <w:pPr>
        <w:spacing w:before="80" w:after="120" w:line="276" w:lineRule="auto"/>
        <w:jc w:val="center"/>
      </w:pPr>
      <w:r>
        <w:rPr>
          <w:b/>
          <w:sz w:val="19"/>
        </w:rPr>
        <w:t xml:space="preserve">Figura 27. </w:t>
      </w:r>
      <w:r>
        <w:rPr>
          <w:sz w:val="19"/>
        </w:rPr>
        <w:t xml:space="preserve">E9: si </w:t>
      </w:r>
      <w:r>
        <w:rPr>
          <w:rFonts w:ascii="Consolas" w:hAnsi="Consolas" w:eastAsia="Consolas"/>
          <w:sz w:val="18"/>
        </w:rPr>
        <w:t>tests_u5</w:t>
      </w:r>
      <w:r>
        <w:rPr>
          <w:sz w:val="19"/>
        </w:rPr>
        <w:t xml:space="preserve"> se ejecuta sin el código del PIA, ahora se detiene con un mensaje que explica qué falta (28/10/2026).</w:t>
      </w:r>
    </w:p>
    <w:p>
      <w:pPr>
        <w:keepNext/>
        <w:spacing w:before="120"/>
        <w:jc w:val="center"/>
      </w:pPr>
      <w:r>
        <w:drawing>
          <wp:inline xmlns:a="http://schemas.openxmlformats.org/drawingml/2006/main" xmlns:pic="http://schemas.openxmlformats.org/drawingml/2006/picture">
            <wp:extent cx="5400000" cy="3796875"/>
            <wp:docPr id="28" name="Picture 28"/>
            <wp:cNvGraphicFramePr>
              <a:graphicFrameLocks noChangeAspect="1"/>
            </wp:cNvGraphicFramePr>
            <a:graphic>
              <a:graphicData uri="http://schemas.openxmlformats.org/drawingml/2006/picture">
                <pic:pic>
                  <pic:nvPicPr>
                    <pic:cNvPr id="0" name="E9_19_htmlcov_u5_index_20261028.png"/>
                    <pic:cNvPicPr/>
                  </pic:nvPicPr>
                  <pic:blipFill>
                    <a:blip r:embed="rId45"/>
                    <a:stretch>
                      <a:fillRect/>
                    </a:stretch>
                  </pic:blipFill>
                  <pic:spPr>
                    <a:xfrm>
                      <a:off x="0" y="0"/>
                      <a:ext cx="5400000" cy="3796875"/>
                    </a:xfrm>
                    <a:prstGeom prst="rect"/>
                  </pic:spPr>
                </pic:pic>
              </a:graphicData>
            </a:graphic>
          </wp:inline>
        </w:drawing>
      </w:r>
    </w:p>
    <w:p>
      <w:pPr>
        <w:spacing w:before="80" w:after="120" w:line="276" w:lineRule="auto"/>
        <w:jc w:val="center"/>
      </w:pPr>
      <w:r>
        <w:rPr>
          <w:b/>
          <w:sz w:val="19"/>
        </w:rPr>
        <w:t xml:space="preserve">Figura 28. </w:t>
      </w:r>
      <w:r>
        <w:rPr>
          <w:sz w:val="19"/>
        </w:rPr>
        <w:t>E9: reporte HTML de cobertura de las pruebas U5 sobre Eventos Nova (28/10/2026).</w:t>
      </w:r>
    </w:p>
    <w:p>
      <w:pPr>
        <w:pStyle w:val="Ttulo1"/>
        <w:keepNext/>
      </w:pPr>
      <w:r>
        <w:t>6. Incidencias y correcciones</w:t>
      </w:r>
    </w:p>
    <w:p>
      <w:pPr>
        <w:keepNext/>
        <w:spacing w:before="160" w:after="60" w:line="276" w:lineRule="auto"/>
        <w:jc w:val="center"/>
      </w:pPr>
      <w:r>
        <w:rPr>
          <w:b/>
          <w:sz w:val="19"/>
        </w:rPr>
        <w:t xml:space="preserve">Tabla 9. </w:t>
      </w:r>
      <w:r>
        <w:rPr>
          <w:sz w:val="19"/>
        </w:rPr>
        <w:t>Incidencias observadas</w:t>
      </w:r>
    </w:p>
    <w:tbl>
      <w:tblPr>
        <w:tblStyle w:val="Tabladecuadrcula4-nfasis11"/>
        <w:tblW w:type="dxa" w:w="9865"/>
        <w:jc w:val="center"/>
        <w:tblLayout w:type="fixed"/>
        <w:tblLook w:firstColumn="1" w:firstRow="1" w:lastColumn="0" w:lastRow="0" w:noHBand="0" w:noVBand="1" w:val="04A0"/>
        <w:tblLayout w:type="fixed"/>
      </w:tblPr>
      <w:tblGrid>
        <w:gridCol w:w="850"/>
        <w:gridCol w:w="2608"/>
        <w:gridCol w:w="3175"/>
        <w:gridCol w:w="3231"/>
      </w:tblGrid>
      <w:tr>
        <w:trPr>
          <w:tblHeader w:val="true"/>
          <w:cantSplit w:val="true"/>
        </w:trPr>
        <w:tc>
          <w:tcPr>
            <w:tcW w:type="dxa" w:w="850"/>
          </w:tcPr>
          <w:p>
            <w:pPr>
              <w:keepNext/>
              <w:jc w:val="center"/>
            </w:pPr>
            <w:r/>
            <w:r>
              <w:rPr>
                <w:b/>
                <w:sz w:val="16"/>
              </w:rPr>
              <w:t>ID</w:t>
            </w:r>
          </w:p>
        </w:tc>
        <w:tc>
          <w:tcPr>
            <w:tcW w:type="dxa" w:w="2608"/>
          </w:tcPr>
          <w:p>
            <w:pPr>
              <w:keepNext/>
              <w:jc w:val="center"/>
            </w:pPr>
            <w:r/>
            <w:r>
              <w:rPr>
                <w:b/>
                <w:sz w:val="16"/>
              </w:rPr>
              <w:t>Incidencia</w:t>
            </w:r>
          </w:p>
        </w:tc>
        <w:tc>
          <w:tcPr>
            <w:tcW w:type="dxa" w:w="3175"/>
          </w:tcPr>
          <w:p>
            <w:pPr>
              <w:keepNext/>
              <w:jc w:val="center"/>
            </w:pPr>
            <w:r/>
            <w:r>
              <w:rPr>
                <w:b/>
                <w:sz w:val="16"/>
              </w:rPr>
              <w:t>Causa</w:t>
            </w:r>
          </w:p>
        </w:tc>
        <w:tc>
          <w:tcPr>
            <w:tcW w:type="dxa" w:w="3231"/>
          </w:tcPr>
          <w:p>
            <w:pPr>
              <w:keepNext/>
              <w:jc w:val="center"/>
            </w:pPr>
            <w:r/>
            <w:r>
              <w:rPr>
                <w:b/>
                <w:sz w:val="16"/>
              </w:rPr>
              <w:t>Solución o estado</w:t>
            </w:r>
          </w:p>
        </w:tc>
      </w:tr>
      <w:tr>
        <w:trPr>
          <w:cantSplit w:val="true"/>
        </w:trPr>
        <w:tc>
          <w:tcPr>
            <w:tcW w:type="dxa" w:w="850"/>
          </w:tcPr>
          <w:p>
            <w:pPr>
              <w:keepNext/>
              <w:spacing w:after="20"/>
            </w:pPr>
            <w:r/>
            <w:r>
              <w:rPr>
                <w:sz w:val="16"/>
              </w:rPr>
              <w:t>I-01</w:t>
            </w:r>
          </w:p>
        </w:tc>
        <w:tc>
          <w:tcPr>
            <w:tcW w:type="dxa" w:w="2608"/>
          </w:tcPr>
          <w:p>
            <w:pPr>
              <w:keepNext/>
              <w:spacing w:after="20"/>
            </w:pPr>
            <w:r/>
            <w:r>
              <w:rPr>
                <w:rFonts w:ascii="Consolas" w:hAnsi="Consolas" w:eastAsia="Consolas"/>
                <w:sz w:val="16"/>
              </w:rPr>
              <w:t>pytest</w:t>
            </w:r>
            <w:r>
              <w:rPr>
                <w:sz w:val="16"/>
              </w:rPr>
              <w:t xml:space="preserve"> sin </w:t>
            </w:r>
            <w:r>
              <w:rPr>
                <w:rFonts w:ascii="Consolas" w:hAnsi="Consolas" w:eastAsia="Consolas"/>
                <w:sz w:val="16"/>
              </w:rPr>
              <w:t>python -m</w:t>
            </w:r>
            <w:r>
              <w:rPr>
                <w:sz w:val="16"/>
              </w:rPr>
              <w:t xml:space="preserve"> no encuentra </w:t>
            </w:r>
            <w:r>
              <w:rPr>
                <w:rFonts w:ascii="Consolas" w:hAnsi="Consolas" w:eastAsia="Consolas"/>
                <w:sz w:val="16"/>
              </w:rPr>
              <w:t>src</w:t>
            </w:r>
          </w:p>
        </w:tc>
        <w:tc>
          <w:tcPr>
            <w:tcW w:type="dxa" w:w="3175"/>
          </w:tcPr>
          <w:p>
            <w:pPr>
              <w:keepNext/>
              <w:spacing w:after="20"/>
            </w:pPr>
            <w:r/>
            <w:r>
              <w:rPr>
                <w:sz w:val="16"/>
              </w:rPr>
              <w:t xml:space="preserve">La raíz del proyecto no estaba en </w:t>
            </w:r>
            <w:r>
              <w:rPr>
                <w:rFonts w:ascii="Consolas" w:hAnsi="Consolas" w:eastAsia="Consolas"/>
                <w:sz w:val="16"/>
              </w:rPr>
              <w:t>sys.path</w:t>
            </w:r>
          </w:p>
        </w:tc>
        <w:tc>
          <w:tcPr>
            <w:tcW w:type="dxa" w:w="3231"/>
          </w:tcPr>
          <w:p>
            <w:pPr>
              <w:keepNext/>
              <w:spacing w:after="20"/>
            </w:pPr>
            <w:r/>
            <w:r>
              <w:rPr>
                <w:rFonts w:ascii="Consolas" w:hAnsi="Consolas" w:eastAsia="Consolas"/>
                <w:sz w:val="16"/>
              </w:rPr>
              <w:t>pythonpath = ["."]</w:t>
            </w:r>
            <w:r>
              <w:rPr>
                <w:sz w:val="16"/>
              </w:rPr>
              <w:t xml:space="preserve"> en </w:t>
            </w:r>
            <w:r>
              <w:rPr>
                <w:rFonts w:ascii="Consolas" w:hAnsi="Consolas" w:eastAsia="Consolas"/>
                <w:sz w:val="16"/>
              </w:rPr>
              <w:t>pyproject.toml</w:t>
            </w:r>
          </w:p>
        </w:tc>
      </w:tr>
      <w:tr>
        <w:trPr>
          <w:cantSplit w:val="true"/>
        </w:trPr>
        <w:tc>
          <w:tcPr>
            <w:tcW w:type="dxa" w:w="850"/>
          </w:tcPr>
          <w:p>
            <w:pPr>
              <w:keepNext/>
              <w:spacing w:after="20"/>
            </w:pPr>
            <w:r/>
            <w:r>
              <w:rPr>
                <w:sz w:val="16"/>
              </w:rPr>
              <w:t>I-02</w:t>
            </w:r>
          </w:p>
        </w:tc>
        <w:tc>
          <w:tcPr>
            <w:tcW w:type="dxa" w:w="2608"/>
          </w:tcPr>
          <w:p>
            <w:pPr>
              <w:keepNext/>
              <w:spacing w:after="20"/>
            </w:pPr>
            <w:r/>
            <w:r>
              <w:rPr>
                <w:sz w:val="16"/>
              </w:rPr>
              <w:t>Ruff reporta 7 errores en el código original</w:t>
            </w:r>
          </w:p>
        </w:tc>
        <w:tc>
          <w:tcPr>
            <w:tcW w:type="dxa" w:w="3175"/>
          </w:tcPr>
          <w:p>
            <w:pPr>
              <w:keepNext/>
              <w:spacing w:after="20"/>
            </w:pPr>
            <w:r/>
            <w:r>
              <w:rPr>
                <w:rFonts w:ascii="Consolas" w:hAnsi="Consolas" w:eastAsia="Consolas"/>
                <w:sz w:val="16"/>
              </w:rPr>
              <w:t>ruff&gt;=0.6</w:t>
            </w:r>
            <w:r>
              <w:rPr>
                <w:sz w:val="16"/>
              </w:rPr>
              <w:t xml:space="preserve"> instala la versión más reciente, que ordena imports</w:t>
            </w:r>
          </w:p>
        </w:tc>
        <w:tc>
          <w:tcPr>
            <w:tcW w:type="dxa" w:w="3231"/>
          </w:tcPr>
          <w:p>
            <w:pPr>
              <w:keepNext/>
              <w:spacing w:after="20"/>
            </w:pPr>
            <w:r/>
            <w:r>
              <w:rPr>
                <w:rFonts w:ascii="Consolas" w:hAnsi="Consolas" w:eastAsia="Consolas"/>
                <w:sz w:val="16"/>
              </w:rPr>
              <w:t>ruff check --fix</w:t>
            </w:r>
            <w:r>
              <w:rPr>
                <w:sz w:val="16"/>
              </w:rPr>
              <w:t xml:space="preserve"> (solo imports); suite completa aprobada</w:t>
            </w:r>
          </w:p>
        </w:tc>
      </w:tr>
      <w:tr>
        <w:trPr>
          <w:cantSplit w:val="true"/>
        </w:trPr>
        <w:tc>
          <w:tcPr>
            <w:tcW w:type="dxa" w:w="850"/>
          </w:tcPr>
          <w:p>
            <w:pPr>
              <w:keepNext/>
              <w:spacing w:after="20"/>
            </w:pPr>
            <w:r/>
            <w:r>
              <w:rPr>
                <w:sz w:val="16"/>
              </w:rPr>
              <w:t>I-03</w:t>
            </w:r>
          </w:p>
        </w:tc>
        <w:tc>
          <w:tcPr>
            <w:tcW w:type="dxa" w:w="2608"/>
          </w:tcPr>
          <w:p>
            <w:pPr>
              <w:keepNext/>
              <w:spacing w:after="20"/>
            </w:pPr>
            <w:r/>
            <w:r>
              <w:rPr>
                <w:rFonts w:ascii="Consolas" w:hAnsi="Consolas" w:eastAsia="Consolas"/>
                <w:sz w:val="16"/>
              </w:rPr>
              <w:t>ResourceWarning</w:t>
            </w:r>
            <w:r>
              <w:rPr>
                <w:sz w:val="16"/>
              </w:rPr>
              <w:t xml:space="preserve"> por conexiones SQLite abiertas</w:t>
            </w:r>
          </w:p>
        </w:tc>
        <w:tc>
          <w:tcPr>
            <w:tcW w:type="dxa" w:w="3175"/>
          </w:tcPr>
          <w:p>
            <w:pPr>
              <w:keepNext/>
              <w:spacing w:after="20"/>
            </w:pPr>
            <w:r/>
            <w:r>
              <w:rPr>
                <w:sz w:val="16"/>
              </w:rPr>
              <w:t>Las pruebas no liberaban el motor</w:t>
            </w:r>
          </w:p>
        </w:tc>
        <w:tc>
          <w:tcPr>
            <w:tcW w:type="dxa" w:w="3231"/>
          </w:tcPr>
          <w:p>
            <w:pPr>
              <w:keepNext/>
              <w:spacing w:after="20"/>
            </w:pPr>
            <w:r/>
            <w:r>
              <w:rPr>
                <w:sz w:val="16"/>
              </w:rPr>
              <w:t xml:space="preserve">Fixtures con </w:t>
            </w:r>
            <w:r>
              <w:rPr>
                <w:rFonts w:ascii="Consolas" w:hAnsi="Consolas" w:eastAsia="Consolas"/>
                <w:sz w:val="16"/>
              </w:rPr>
              <w:t>dispose()</w:t>
            </w:r>
            <w:r>
              <w:rPr>
                <w:sz w:val="16"/>
              </w:rPr>
              <w:t xml:space="preserve"> y advertencias convertidas en error</w:t>
            </w:r>
          </w:p>
        </w:tc>
      </w:tr>
      <w:tr>
        <w:trPr>
          <w:cantSplit w:val="true"/>
        </w:trPr>
        <w:tc>
          <w:tcPr>
            <w:tcW w:type="dxa" w:w="850"/>
          </w:tcPr>
          <w:p>
            <w:pPr>
              <w:keepNext/>
              <w:spacing w:after="20"/>
            </w:pPr>
            <w:r/>
            <w:r>
              <w:rPr>
                <w:sz w:val="16"/>
              </w:rPr>
              <w:t>I-04</w:t>
            </w:r>
          </w:p>
        </w:tc>
        <w:tc>
          <w:tcPr>
            <w:tcW w:type="dxa" w:w="2608"/>
          </w:tcPr>
          <w:p>
            <w:pPr>
              <w:keepNext/>
              <w:spacing w:after="20"/>
            </w:pPr>
            <w:r/>
            <w:r>
              <w:rPr>
                <w:sz w:val="16"/>
              </w:rPr>
              <w:t>Sin acceso a PyPI en el entorno</w:t>
            </w:r>
          </w:p>
        </w:tc>
        <w:tc>
          <w:tcPr>
            <w:tcW w:type="dxa" w:w="3175"/>
          </w:tcPr>
          <w:p>
            <w:pPr>
              <w:keepNext/>
              <w:spacing w:after="20"/>
            </w:pPr>
            <w:r/>
            <w:r>
              <w:rPr>
                <w:sz w:val="16"/>
              </w:rPr>
              <w:t>Política de red del entorno</w:t>
            </w:r>
          </w:p>
        </w:tc>
        <w:tc>
          <w:tcPr>
            <w:tcW w:type="dxa" w:w="3231"/>
          </w:tcPr>
          <w:p>
            <w:pPr>
              <w:keepNext/>
              <w:spacing w:after="20"/>
            </w:pPr>
            <w:r/>
            <w:r>
              <w:rPr>
                <w:sz w:val="16"/>
              </w:rPr>
              <w:t>Dependencias instaladas desde GitHub y desde el entorno del equipo; mismas versiones mayores</w:t>
            </w:r>
          </w:p>
        </w:tc>
      </w:tr>
      <w:tr>
        <w:trPr>
          <w:cantSplit w:val="true"/>
        </w:trPr>
        <w:tc>
          <w:tcPr>
            <w:tcW w:type="dxa" w:w="850"/>
          </w:tcPr>
          <w:p>
            <w:pPr>
              <w:keepNext/>
              <w:spacing w:after="20"/>
            </w:pPr>
            <w:r/>
            <w:r>
              <w:rPr>
                <w:sz w:val="16"/>
              </w:rPr>
              <w:t>I-05</w:t>
            </w:r>
          </w:p>
        </w:tc>
        <w:tc>
          <w:tcPr>
            <w:tcW w:type="dxa" w:w="2608"/>
          </w:tcPr>
          <w:p>
            <w:pPr>
              <w:keepNext/>
              <w:spacing w:after="20"/>
            </w:pPr>
            <w:r/>
            <w:r>
              <w:rPr>
                <w:sz w:val="16"/>
              </w:rPr>
              <w:t xml:space="preserve">Ruff señala </w:t>
            </w:r>
            <w:r>
              <w:rPr>
                <w:rFonts w:ascii="Consolas" w:hAnsi="Consolas" w:eastAsia="Consolas"/>
                <w:sz w:val="16"/>
              </w:rPr>
              <w:t>DTZ001</w:t>
            </w:r>
            <w:r>
              <w:rPr>
                <w:sz w:val="16"/>
              </w:rPr>
              <w:t xml:space="preserve"> en </w:t>
            </w:r>
            <w:r>
              <w:rPr>
                <w:rFonts w:ascii="Consolas" w:hAnsi="Consolas" w:eastAsia="Consolas"/>
                <w:sz w:val="16"/>
              </w:rPr>
              <w:t>tests_u5</w:t>
            </w:r>
          </w:p>
        </w:tc>
        <w:tc>
          <w:tcPr>
            <w:tcW w:type="dxa" w:w="3175"/>
          </w:tcPr>
          <w:p>
            <w:pPr>
              <w:keepNext/>
              <w:spacing w:after="20"/>
            </w:pPr>
            <w:r/>
            <w:r>
              <w:rPr>
                <w:sz w:val="16"/>
              </w:rPr>
              <w:t>El dominio de Eventos Nova usa fechas locales sin zona (TP-06)</w:t>
            </w:r>
          </w:p>
        </w:tc>
        <w:tc>
          <w:tcPr>
            <w:tcW w:type="dxa" w:w="3231"/>
          </w:tcPr>
          <w:p>
            <w:pPr>
              <w:keepNext/>
              <w:spacing w:after="20"/>
            </w:pPr>
            <w:r/>
            <w:r>
              <w:rPr>
                <w:rFonts w:ascii="Consolas" w:hAnsi="Consolas" w:eastAsia="Consolas"/>
                <w:sz w:val="16"/>
              </w:rPr>
              <w:t>tests_u5/ruff.toml</w:t>
            </w:r>
            <w:r>
              <w:rPr>
                <w:sz w:val="16"/>
              </w:rPr>
              <w:t xml:space="preserve"> ignora esa regla y lo justifica</w:t>
            </w:r>
          </w:p>
        </w:tc>
      </w:tr>
      <w:tr>
        <w:trPr>
          <w:cantSplit w:val="true"/>
        </w:trPr>
        <w:tc>
          <w:tcPr>
            <w:tcW w:type="dxa" w:w="850"/>
          </w:tcPr>
          <w:p>
            <w:pPr>
              <w:keepNext/>
              <w:spacing w:after="20"/>
            </w:pPr>
            <w:r/>
            <w:r>
              <w:rPr>
                <w:sz w:val="16"/>
              </w:rPr>
              <w:t>I-PIA-1</w:t>
            </w:r>
          </w:p>
        </w:tc>
        <w:tc>
          <w:tcPr>
            <w:tcW w:type="dxa" w:w="2608"/>
          </w:tcPr>
          <w:p>
            <w:pPr>
              <w:keepNext/>
              <w:spacing w:after="20"/>
            </w:pPr>
            <w:r/>
            <w:r>
              <w:rPr>
                <w:rFonts w:ascii="Consolas" w:hAnsi="Consolas" w:eastAsia="Consolas"/>
                <w:sz w:val="16"/>
              </w:rPr>
              <w:t>test_openapi_exportada</w:t>
            </w:r>
            <w:r>
              <w:rPr>
                <w:sz w:val="16"/>
              </w:rPr>
              <w:t xml:space="preserve"> falla en la suite del equipo</w:t>
            </w:r>
          </w:p>
        </w:tc>
        <w:tc>
          <w:tcPr>
            <w:tcW w:type="dxa" w:w="3175"/>
          </w:tcPr>
          <w:p>
            <w:pPr>
              <w:keepNext/>
              <w:spacing w:after="20"/>
            </w:pPr>
            <w:r/>
            <w:r>
              <w:rPr>
                <w:sz w:val="16"/>
              </w:rPr>
              <w:t xml:space="preserve">Con Pydantic 2.13.5 el esquema agrega un </w:t>
            </w:r>
            <w:r>
              <w:rPr>
                <w:rFonts w:ascii="Consolas" w:hAnsi="Consolas" w:eastAsia="Consolas"/>
                <w:sz w:val="16"/>
              </w:rPr>
              <w:t>pattern</w:t>
            </w:r>
            <w:r>
              <w:rPr>
                <w:sz w:val="16"/>
              </w:rPr>
              <w:t xml:space="preserve"> a 8 campos decimales; el archivo del equipo se exportó con Pydantic 2.14.1</w:t>
            </w:r>
          </w:p>
        </w:tc>
        <w:tc>
          <w:tcPr>
            <w:tcW w:type="dxa" w:w="3231"/>
          </w:tcPr>
          <w:p>
            <w:pPr>
              <w:keepNext/>
              <w:spacing w:after="20"/>
            </w:pPr>
            <w:r/>
            <w:r>
              <w:rPr>
                <w:sz w:val="16"/>
              </w:rPr>
              <w:t>No es un cambio del código; confirmar en el entorno del equipo</w:t>
            </w:r>
          </w:p>
        </w:tc>
      </w:tr>
      <w:tr>
        <w:trPr>
          <w:cantSplit w:val="true"/>
        </w:trPr>
        <w:tc>
          <w:tcPr>
            <w:tcW w:type="dxa" w:w="850"/>
          </w:tcPr>
          <w:p>
            <w:pPr>
              <w:keepNext/>
              <w:spacing w:after="20"/>
            </w:pPr>
            <w:r/>
            <w:r>
              <w:rPr>
                <w:sz w:val="16"/>
              </w:rPr>
              <w:t>I-06</w:t>
            </w:r>
          </w:p>
        </w:tc>
        <w:tc>
          <w:tcPr>
            <w:tcW w:type="dxa" w:w="2608"/>
          </w:tcPr>
          <w:p>
            <w:pPr>
              <w:keepNext/>
              <w:spacing w:after="20"/>
            </w:pPr>
            <w:r/>
            <w:r>
              <w:rPr>
                <w:sz w:val="16"/>
              </w:rPr>
              <w:t xml:space="preserve">El ZIP v1 no ejecutaba </w:t>
            </w:r>
            <w:r>
              <w:rPr>
                <w:rFonts w:ascii="Consolas" w:hAnsi="Consolas" w:eastAsia="Consolas"/>
                <w:sz w:val="16"/>
              </w:rPr>
              <w:t>tests_u5</w:t>
            </w:r>
            <w:r>
              <w:rPr>
                <w:sz w:val="16"/>
              </w:rPr>
              <w:t xml:space="preserve"> (</w:t>
            </w:r>
            <w:r>
              <w:rPr>
                <w:rFonts w:ascii="Consolas" w:hAnsi="Consolas" w:eastAsia="Consolas"/>
                <w:sz w:val="16"/>
              </w:rPr>
              <w:t>ModuleNotFoundError: domain</w:t>
            </w:r>
            <w:r>
              <w:rPr>
                <w:sz w:val="16"/>
              </w:rPr>
              <w:t>)</w:t>
            </w:r>
          </w:p>
        </w:tc>
        <w:tc>
          <w:tcPr>
            <w:tcW w:type="dxa" w:w="3175"/>
          </w:tcPr>
          <w:p>
            <w:pPr>
              <w:keepNext/>
              <w:spacing w:after="20"/>
            </w:pPr>
            <w:r/>
            <w:r>
              <w:rPr>
                <w:sz w:val="16"/>
              </w:rPr>
              <w:t>El paquete no incluía el código del PIA que las pruebas importan</w:t>
            </w:r>
          </w:p>
        </w:tc>
        <w:tc>
          <w:tcPr>
            <w:tcW w:type="dxa" w:w="3231"/>
          </w:tcPr>
          <w:p>
            <w:pPr>
              <w:keepNext/>
              <w:spacing w:after="20"/>
            </w:pPr>
            <w:r/>
            <w:r>
              <w:rPr>
                <w:sz w:val="16"/>
              </w:rPr>
              <w:t xml:space="preserve">Código real incluido; </w:t>
            </w:r>
            <w:r>
              <w:rPr>
                <w:rFonts w:ascii="Consolas" w:hAnsi="Consolas" w:eastAsia="Consolas"/>
                <w:sz w:val="16"/>
              </w:rPr>
              <w:t>conftest.py</w:t>
            </w:r>
            <w:r>
              <w:rPr>
                <w:sz w:val="16"/>
              </w:rPr>
              <w:t xml:space="preserve"> con mensaje claro; </w:t>
            </w:r>
            <w:r>
              <w:rPr>
                <w:rFonts w:ascii="Consolas" w:hAnsi="Consolas" w:eastAsia="Consolas"/>
                <w:sz w:val="16"/>
              </w:rPr>
              <w:t>pytest.ini</w:t>
            </w:r>
            <w:r>
              <w:rPr>
                <w:sz w:val="16"/>
              </w:rPr>
              <w:t xml:space="preserve"> (28/10)</w:t>
            </w:r>
          </w:p>
        </w:tc>
      </w:tr>
      <w:tr>
        <w:trPr>
          <w:cantSplit w:val="true"/>
        </w:trPr>
        <w:tc>
          <w:tcPr>
            <w:tcW w:type="dxa" w:w="850"/>
          </w:tcPr>
          <w:p>
            <w:pPr>
              <w:keepNext/>
              <w:spacing w:after="20"/>
            </w:pPr>
            <w:r/>
            <w:r>
              <w:rPr>
                <w:sz w:val="16"/>
              </w:rPr>
              <w:t>I-07</w:t>
            </w:r>
          </w:p>
        </w:tc>
        <w:tc>
          <w:tcPr>
            <w:tcW w:type="dxa" w:w="2608"/>
          </w:tcPr>
          <w:p>
            <w:pPr>
              <w:keepNext/>
              <w:spacing w:after="20"/>
            </w:pPr>
            <w:r/>
            <w:r>
              <w:rPr>
                <w:rFonts w:ascii="Consolas" w:hAnsi="Consolas" w:eastAsia="Consolas"/>
                <w:sz w:val="16"/>
              </w:rPr>
              <w:t>test_trazabilidad_api</w:t>
            </w:r>
            <w:r>
              <w:rPr>
                <w:sz w:val="16"/>
              </w:rPr>
              <w:t xml:space="preserve"> falló tras la primera versión de la corrección U5-H1</w:t>
            </w:r>
          </w:p>
        </w:tc>
        <w:tc>
          <w:tcPr>
            <w:tcW w:type="dxa" w:w="3175"/>
          </w:tcPr>
          <w:p>
            <w:pPr>
              <w:keepNext/>
              <w:spacing w:after="20"/>
            </w:pPr>
            <w:r/>
            <w:r>
              <w:rPr>
                <w:sz w:val="16"/>
              </w:rPr>
              <w:t>Un comentario citaba «CA-083» y el generador de trazabilidad lo tomó</w:t>
            </w:r>
          </w:p>
        </w:tc>
        <w:tc>
          <w:tcPr>
            <w:tcW w:type="dxa" w:w="3231"/>
          </w:tcPr>
          <w:p>
            <w:pPr>
              <w:keepNext/>
              <w:spacing w:after="20"/>
            </w:pPr>
            <w:r/>
            <w:r>
              <w:rPr>
                <w:sz w:val="16"/>
              </w:rPr>
              <w:t>Se retiró la cita; la prueba pasa (28/10)</w:t>
            </w:r>
          </w:p>
        </w:tc>
      </w:tr>
      <w:tr>
        <w:trPr>
          <w:cantSplit w:val="true"/>
        </w:trPr>
        <w:tc>
          <w:tcPr>
            <w:tcW w:type="dxa" w:w="850"/>
          </w:tcPr>
          <w:p>
            <w:pPr>
              <w:keepNext/>
              <w:spacing w:after="20"/>
            </w:pPr>
            <w:r/>
            <w:r>
              <w:rPr>
                <w:sz w:val="16"/>
              </w:rPr>
              <w:t>U5-H1</w:t>
            </w:r>
          </w:p>
        </w:tc>
        <w:tc>
          <w:tcPr>
            <w:tcW w:type="dxa" w:w="2608"/>
          </w:tcPr>
          <w:p>
            <w:pPr>
              <w:keepNext/>
              <w:spacing w:after="20"/>
            </w:pPr>
            <w:r/>
            <w:r>
              <w:rPr>
                <w:sz w:val="16"/>
              </w:rPr>
              <w:t>Se consultaba a proveedores con una solicitud ya No procedente</w:t>
            </w:r>
          </w:p>
        </w:tc>
        <w:tc>
          <w:tcPr>
            <w:tcW w:type="dxa" w:w="3175"/>
          </w:tcPr>
          <w:p>
            <w:pPr>
              <w:keepNext/>
              <w:spacing w:after="20"/>
            </w:pPr>
            <w:r/>
            <w:r>
              <w:rPr>
                <w:sz w:val="16"/>
              </w:rPr>
              <w:t>El servicio llamaba al puerto antes de que el dominio validara el estado</w:t>
            </w:r>
          </w:p>
        </w:tc>
        <w:tc>
          <w:tcPr>
            <w:tcW w:type="dxa" w:w="3231"/>
          </w:tcPr>
          <w:p>
            <w:pPr>
              <w:keepNext/>
              <w:spacing w:after="20"/>
            </w:pPr>
            <w:r/>
            <w:r>
              <w:rPr>
                <w:sz w:val="16"/>
              </w:rPr>
              <w:t>Corregido en la copia (RED → GREEN, 28/10); parche pendiente de aprobación del equipo</w:t>
            </w:r>
          </w:p>
        </w:tc>
      </w:tr>
      <w:tr>
        <w:trPr>
          <w:cantSplit w:val="true"/>
        </w:trPr>
        <w:tc>
          <w:tcPr>
            <w:tcW w:type="dxa" w:w="850"/>
          </w:tcPr>
          <w:p>
            <w:pPr>
              <w:keepNext/>
              <w:spacing w:after="20"/>
            </w:pPr>
            <w:r/>
            <w:r>
              <w:rPr>
                <w:sz w:val="16"/>
              </w:rPr>
              <w:t>U5-O1</w:t>
            </w:r>
          </w:p>
        </w:tc>
        <w:tc>
          <w:tcPr>
            <w:tcW w:type="dxa" w:w="2608"/>
          </w:tcPr>
          <w:p>
            <w:pPr>
              <w:keepNext/>
              <w:spacing w:after="20"/>
            </w:pPr>
            <w:r/>
            <w:r>
              <w:rPr>
                <w:sz w:val="16"/>
              </w:rPr>
              <w:t>Días naturales por fecha o por 24 h</w:t>
            </w:r>
          </w:p>
        </w:tc>
        <w:tc>
          <w:tcPr>
            <w:tcW w:type="dxa" w:w="3175"/>
          </w:tcPr>
          <w:p>
            <w:pPr>
              <w:keepNext/>
              <w:spacing w:after="20"/>
            </w:pPr>
            <w:r/>
            <w:r>
              <w:rPr>
                <w:sz w:val="16"/>
              </w:rPr>
              <w:t>Los documentos no lo precisan; el código usa fechas de calendario</w:t>
            </w:r>
          </w:p>
        </w:tc>
        <w:tc>
          <w:tcPr>
            <w:tcW w:type="dxa" w:w="3231"/>
          </w:tcPr>
          <w:p>
            <w:pPr>
              <w:keepNext/>
              <w:spacing w:after="20"/>
            </w:pPr>
            <w:r/>
            <w:r>
              <w:rPr>
                <w:sz w:val="16"/>
              </w:rPr>
              <w:t>Ambigüedad registrada (PIA-02)</w:t>
            </w:r>
          </w:p>
        </w:tc>
      </w:tr>
      <w:tr>
        <w:trPr>
          <w:cantSplit w:val="true"/>
        </w:trPr>
        <w:tc>
          <w:tcPr>
            <w:tcW w:type="dxa" w:w="850"/>
          </w:tcPr>
          <w:p>
            <w:pPr>
              <w:spacing w:after="20"/>
            </w:pPr>
            <w:r/>
            <w:r>
              <w:rPr>
                <w:sz w:val="16"/>
              </w:rPr>
              <w:t>E8</w:t>
            </w:r>
          </w:p>
        </w:tc>
        <w:tc>
          <w:tcPr>
            <w:tcW w:type="dxa" w:w="2608"/>
          </w:tcPr>
          <w:p>
            <w:pPr>
              <w:spacing w:after="20"/>
            </w:pPr>
            <w:r/>
            <w:r>
              <w:rPr>
                <w:sz w:val="16"/>
              </w:rPr>
              <w:t>Sin ejecuciones reales de GitHub Actions</w:t>
            </w:r>
          </w:p>
        </w:tc>
        <w:tc>
          <w:tcPr>
            <w:tcW w:type="dxa" w:w="3175"/>
          </w:tcPr>
          <w:p>
            <w:pPr>
              <w:spacing w:after="20"/>
            </w:pPr>
            <w:r/>
            <w:r>
              <w:rPr>
                <w:sz w:val="16"/>
              </w:rPr>
              <w:t>Sesión sin cuenta de GitHub vinculada</w:t>
            </w:r>
          </w:p>
        </w:tc>
        <w:tc>
          <w:tcPr>
            <w:tcW w:type="dxa" w:w="3231"/>
          </w:tcPr>
          <w:p>
            <w:pPr>
              <w:spacing w:after="20"/>
            </w:pPr>
            <w:r/>
            <w:r>
              <w:rPr>
                <w:sz w:val="16"/>
              </w:rPr>
              <w:t>Pendiente del equipo (guía de pendientes, P-03)</w:t>
            </w:r>
          </w:p>
        </w:tc>
      </w:tr>
    </w:tbl>
    <w:p>
      <w:pPr>
        <w:spacing w:before="0" w:after="40" w:line="276" w:lineRule="auto"/>
        <w:jc w:val="both"/>
      </w:pPr>
    </w:p>
    <w:p>
      <w:pPr>
        <w:spacing w:before="0" w:after="120" w:line="276" w:lineRule="auto"/>
        <w:jc w:val="both"/>
      </w:pPr>
      <w:r>
        <w:t>Durante el análisis también observamos que, con el saldo exigible tres días hábiles antes del evento y el mínimo de cinco días naturales del servicio adicional, cuando el saldo ya venció nunca quedan cinco días naturales (como máximo cuatro). En una solicitud nueva de servicio adicional se informa siempre el motivo de plazo antes que el de saldo vencido. Es consecuencia del orden aprobado, no un defecto, y lo dejamos anotado para el equipo.</w:t>
      </w:r>
    </w:p>
    <w:p>
      <w:pPr>
        <w:pStyle w:val="Ttulo1"/>
        <w:keepNext/>
      </w:pPr>
      <w:r>
        <w:t>7. Preguntas y respuestas</w:t>
      </w:r>
    </w:p>
    <w:p>
      <w:pPr>
        <w:spacing w:before="0" w:after="120" w:line="276" w:lineRule="auto"/>
        <w:jc w:val="both"/>
      </w:pPr>
      <w:r>
        <w:rPr>
          <w:b/>
        </w:rPr>
        <w:t>¿Por qué una prueba unitaria no necesita base de datos?</w:t>
      </w:r>
      <w:r>
        <w:t xml:space="preserve"> Porque verifica una regla en aislamiento. </w:t>
      </w:r>
      <w:r>
        <w:rPr>
          <w:rFonts w:ascii="Consolas" w:hAnsi="Consolas" w:eastAsia="Consolas"/>
          <w:sz w:val="18"/>
        </w:rPr>
        <w:t>Order.confirm()</w:t>
      </w:r>
      <w:r>
        <w:t xml:space="preserve"> no depende de SQLAlchemy; si la prueba usara una base, un fallo podría venir de la conexión y no de la regla.</w:t>
      </w:r>
    </w:p>
    <w:p>
      <w:pPr>
        <w:spacing w:before="0" w:after="120" w:line="276" w:lineRule="auto"/>
        <w:jc w:val="both"/>
      </w:pPr>
      <w:r>
        <w:rPr>
          <w:b/>
        </w:rPr>
        <w:t>¿Qué distingue una prueba de integración?</w:t>
      </w:r>
      <w:r>
        <w:t xml:space="preserve"> Ejercita varias piezas juntas: en el laboratorio, el repositorio con SQLAlchemy y SQLite; en Eventos Nova, los servicios con la composición persistente y PostgreSQL.</w:t>
      </w:r>
    </w:p>
    <w:p>
      <w:pPr>
        <w:spacing w:before="0" w:after="120" w:line="276" w:lineRule="auto"/>
        <w:jc w:val="both"/>
      </w:pPr>
      <w:r>
        <w:rPr>
          <w:b/>
        </w:rPr>
        <w:t>¿Qué es TDD?</w:t>
      </w:r>
      <w:r>
        <w:t xml:space="preserve"> Escribir primero una prueba que falla (Red), escribir el mínimo código para que pase (Green) y mejorar el diseño sin cambiar el comportamiento (Refactor). El fallo inicial prueba que la prueba detecta la ausencia de la regla.</w:t>
      </w:r>
    </w:p>
    <w:p>
      <w:pPr>
        <w:spacing w:before="0" w:after="120" w:line="276" w:lineRule="auto"/>
        <w:jc w:val="both"/>
      </w:pPr>
      <w:r>
        <w:rPr>
          <w:b/>
        </w:rPr>
        <w:t>¿Para qué sirve un mock?</w:t>
      </w:r>
      <w:r>
        <w:t xml:space="preserve"> Para sustituir un servicio externo y controlar su respuesta. Permite probar el rechazo o el timeout de un pago sin cobrar y verificar con qué datos se llamó.</w:t>
      </w:r>
    </w:p>
    <w:p>
      <w:pPr>
        <w:spacing w:before="0" w:after="120" w:line="276" w:lineRule="auto"/>
        <w:jc w:val="both"/>
      </w:pPr>
      <w:r>
        <w:rPr>
          <w:b/>
        </w:rPr>
        <w:t>¿Qué diferencia hay entre commit y rollback?</w:t>
      </w:r>
      <w:r>
        <w:t xml:space="preserve"> </w:t>
      </w:r>
      <w:r>
        <w:rPr>
          <w:rFonts w:ascii="Consolas" w:hAnsi="Consolas" w:eastAsia="Consolas"/>
          <w:sz w:val="18"/>
        </w:rPr>
        <w:t>commit()</w:t>
      </w:r>
      <w:r>
        <w:t xml:space="preserve"> hace permanentes los cambios de la transacción; </w:t>
      </w:r>
      <w:r>
        <w:rPr>
          <w:rFonts w:ascii="Consolas" w:hAnsi="Consolas" w:eastAsia="Consolas"/>
          <w:sz w:val="18"/>
        </w:rPr>
        <w:t>rollback()</w:t>
      </w:r>
      <w:r>
        <w:t xml:space="preserve"> los descarta. Ninguno afecta a lo confirmado en transacciones anteriores.</w:t>
      </w:r>
    </w:p>
    <w:p>
      <w:pPr>
        <w:spacing w:before="0" w:after="120" w:line="276" w:lineRule="auto"/>
        <w:jc w:val="both"/>
      </w:pPr>
      <w:r>
        <w:rPr>
          <w:b/>
        </w:rPr>
        <w:t>¿Autenticación y autorización son lo mismo?</w:t>
      </w:r>
      <w:r>
        <w:t xml:space="preserve"> No. La autenticación establece quién es el usuario; la autorización decide qué puede hacer. </w:t>
      </w:r>
      <w:r>
        <w:rPr>
          <w:rFonts w:ascii="Consolas" w:hAnsi="Consolas" w:eastAsia="Consolas"/>
          <w:sz w:val="18"/>
        </w:rPr>
        <w:t>can_cancel()</w:t>
      </w:r>
      <w:r>
        <w:t xml:space="preserve"> es una política de autorización: recibe la identidad ya establecida.</w:t>
      </w:r>
    </w:p>
    <w:p>
      <w:pPr>
        <w:spacing w:before="0" w:after="120" w:line="276" w:lineRule="auto"/>
        <w:jc w:val="both"/>
      </w:pPr>
      <w:r>
        <w:rPr>
          <w:b/>
        </w:rPr>
        <w:t>¿Qué demuestra un 80 % de cobertura?</w:t>
      </w:r>
      <w:r>
        <w:t xml:space="preserve"> Que al menos el 80 % de las líneas medidas se ejecutaron. No demuestra que el 80 % de los defectos se haya encontrado.</w:t>
      </w:r>
    </w:p>
    <w:p>
      <w:pPr>
        <w:spacing w:before="0" w:after="120" w:line="276" w:lineRule="auto"/>
        <w:jc w:val="both"/>
      </w:pPr>
      <w:r>
        <w:rPr>
          <w:b/>
        </w:rPr>
        <w:t>¿Qué aporta CI/CD?</w:t>
      </w:r>
      <w:r>
        <w:t xml:space="preserve"> Ejecuta las mismas verificaciones en cada push o pull request. Si Ruff, las pruebas o la cobertura fallan, el cambio queda marcado en rojo; bloquearlo exige además reglas de protección de la rama.</w:t>
      </w:r>
    </w:p>
    <w:p>
      <w:pPr>
        <w:pStyle w:val="Ttulo2"/>
        <w:keepNext/>
      </w:pPr>
      <w:r>
        <w:t>Reflexión: ¿qué defecto de negocio sería más costoso en producción y qué prueba lo evitaría?</w:t>
      </w:r>
    </w:p>
    <w:p>
      <w:pPr>
        <w:spacing w:before="0" w:after="120" w:line="276" w:lineRule="auto"/>
        <w:jc w:val="both"/>
      </w:pPr>
      <w:r>
        <w:t xml:space="preserve">En el laboratorio, el defecto más costoso sería cobrar o confirmar mal un pedido: hoy </w:t>
      </w:r>
      <w:r>
        <w:rPr>
          <w:rFonts w:ascii="Consolas" w:hAnsi="Consolas" w:eastAsia="Consolas"/>
          <w:sz w:val="18"/>
        </w:rPr>
        <w:t>checkout()</w:t>
      </w:r>
      <w:r>
        <w:t xml:space="preserve"> deja el pedido en CONFIRMED aunque la pasarela rechace el pago, de modo que se podría enviar mercancía sin haber cobrado. No es un defecto que hayamos introducido ni que una prueba haya descubierto por accidente: lo señala la guía y lo dejamos visible con una prueba xfail que exige que el pedido no quede confirmado tras el rechazo. En Eventos Nova, el riesgo equivalente es contar mal un plazo. Si el anticipo se considerara vencido un minuto antes, se cerraría una contratación que el Cliente pagó a tiempo; si la ventana de 24 horas del servicio adicional se tomara como exclusiva, se cerraría por falta de pago una solicitud pagada en el último instante. Las pruebas de límite PIA-08, PIA-09 y PIA-15, que fijan el instante exacto con fechas fijas, evitarían que una refactorización cambie un «&lt;» por un «&lt;=» sin que nadie lo note. Aprendimos que una cobertura del 100 % no basta: hacen falta aserciones sobre el estado y sobre los límites.</w:t>
      </w:r>
    </w:p>
    <w:p>
      <w:pPr>
        <w:pStyle w:val="Ttulo1"/>
        <w:keepNext/>
      </w:pPr>
      <w:r>
        <w:t>8. Conclusión general</w:t>
      </w:r>
    </w:p>
    <w:p>
      <w:pPr>
        <w:spacing w:before="0" w:after="120" w:line="276" w:lineRule="auto"/>
        <w:jc w:val="both"/>
      </w:pPr>
      <w:r>
        <w:t xml:space="preserve">Completamos las pruebas del laboratorio con 69 aprobadas, 1 riesgo documentado, Ruff sin errores y 100 % de cobertura de líneas y ramas; aplicamos TDD con evidencia real de RED y GREEN y dejamos un workflow validado. En Eventos Nova probamos cuatro reglas aprobadas sobre el código real, incluida persistencia en PostgreSQL y dobles de los servicios externos: 22 pruebas aprobadas tras corregir el hallazgo U5-H1 en una copia del código, y una ambigüedad registrada. La revisión del 28/10 también mostró que un paquete reproducible debe incluir lo que sus pruebas importan. Lo que falta depende del equipo y está detallado en </w:t>
      </w:r>
      <w:r>
        <w:rPr>
          <w:rFonts w:ascii="Consolas" w:hAnsi="Consolas" w:eastAsia="Consolas"/>
          <w:sz w:val="18"/>
        </w:rPr>
        <w:t>docs/GUIA_PENDIENTES_ACTIVIDAD5.docx</w:t>
      </w:r>
      <w:r>
        <w:t xml:space="preserve">: las ejecuciones de GitHub Actions, la integración de </w:t>
      </w:r>
      <w:r>
        <w:rPr>
          <w:rFonts w:ascii="Consolas" w:hAnsi="Consolas" w:eastAsia="Consolas"/>
          <w:sz w:val="18"/>
        </w:rPr>
        <w:t>tests_u5</w:t>
      </w:r>
      <w:r>
        <w:t xml:space="preserve"> y del parche en el repositorio del PIA y la revisión de la bitácora por cada integrante.</w:t>
      </w:r>
    </w:p>
    <w:p>
      <w:pPr>
        <w:pStyle w:val="Ttulo1"/>
        <w:keepNext/>
      </w:pPr>
      <w:r>
        <w:t>9. Conclusiones individuales</w:t>
      </w:r>
    </w:p>
    <w:p>
      <w:pPr>
        <w:spacing w:before="0" w:after="120" w:line="276" w:lineRule="auto"/>
        <w:jc w:val="both"/>
      </w:pPr>
      <w:r>
        <w:t>(Texto propuesto. Cada integrante debe revisarlo y ajustarlo con sus propias palabras antes de entregar.)</w:t>
      </w:r>
    </w:p>
    <w:p>
      <w:pPr>
        <w:spacing w:before="0" w:after="120" w:line="276" w:lineRule="auto"/>
        <w:jc w:val="both"/>
      </w:pPr>
      <w:r>
        <w:rPr>
          <w:b/>
        </w:rPr>
        <w:t>Lesly Adamaris Cotlame Nieto.</w:t>
      </w:r>
      <w:r>
        <w:t xml:space="preserve"> Entendí que la fase RED no es un paso de trámite: ver fallar la prueba por la causa correcta fue lo que me dio confianza en que la guarda de doble confirmación estaba realmente probada.</w:t>
      </w:r>
    </w:p>
    <w:p>
      <w:pPr>
        <w:spacing w:before="0" w:after="120" w:line="276" w:lineRule="auto"/>
        <w:jc w:val="both"/>
      </w:pPr>
      <w:r>
        <w:rPr>
          <w:b/>
        </w:rPr>
        <w:t>Christopher Bethancourt Contreras.</w:t>
      </w:r>
      <w:r>
        <w:t xml:space="preserve"> Aprendí a probar persistencia sin depender de una base de producción y a distinguir con pruebas lo que hace un commit de lo que deshace un rollback, incluso después de un flush.</w:t>
      </w:r>
    </w:p>
    <w:p>
      <w:pPr>
        <w:spacing w:before="0" w:after="120" w:line="276" w:lineRule="auto"/>
        <w:jc w:val="both"/>
      </w:pPr>
      <w:r>
        <w:rPr>
          <w:b/>
        </w:rPr>
        <w:t>Francisco Mora Ruiz.</w:t>
      </w:r>
      <w:r>
        <w:t xml:space="preserve"> Me quedo con que los límites se deben confirmar en los documentos: en Eventos Nova, los días hábiles vencen a las 00:00 y las ventanas de horas incluyen el instante final, y eso cambió el resultado esperado de varios casos.</w:t>
      </w:r>
    </w:p>
    <w:p>
      <w:pPr>
        <w:pStyle w:val="Ttulo1"/>
        <w:keepNext/>
      </w:pPr>
      <w:r>
        <w:t>10. Repositorio de GitHub</w:t>
      </w:r>
    </w:p>
    <w:p>
      <w:pPr>
        <w:spacing w:before="0" w:after="120" w:line="276" w:lineRule="auto"/>
        <w:jc w:val="both"/>
      </w:pPr>
      <w:r>
        <w:rPr>
          <w:b/>
        </w:rPr>
        <w:t>Pendiente.</w:t>
      </w:r>
      <w:r>
        <w:t xml:space="preserve"> El repositorio local está listo, con historial de commits, workflow y README. La URL se anotará cuando el equipo lo publique y ejecute las tres corridas de E8 (pasos en la guía de pendientes, P-03). El repositorio de Eventos Nova tampoco tiene remoto configurado.</w:t>
      </w:r>
    </w:p>
    <w:p>
      <w:pPr>
        <w:pStyle w:val="Ttulo1"/>
        <w:keepNext/>
      </w:pPr>
      <w:r>
        <w:t>Bibliografía</w:t>
      </w:r>
    </w:p>
    <w:p>
      <w:pPr>
        <w:keepNext/>
        <w:spacing w:before="0" w:after="80" w:line="276" w:lineRule="auto"/>
        <w:ind w:left="567" w:hanging="567"/>
      </w:pPr>
      <w:r>
        <w:t xml:space="preserve">Astral Software. (s.f.). </w:t>
      </w:r>
      <w:r>
        <w:rPr>
          <w:i/>
        </w:rPr>
        <w:t>Ruff</w:t>
      </w:r>
      <w:r>
        <w:t xml:space="preserve"> [Documentación]. https://docs.astral.sh/ruff/</w:t>
      </w:r>
    </w:p>
    <w:p>
      <w:pPr>
        <w:keepNext/>
        <w:spacing w:before="0" w:after="80" w:line="276" w:lineRule="auto"/>
        <w:ind w:left="567" w:hanging="567"/>
      </w:pPr>
      <w:r>
        <w:t xml:space="preserve">Batchelder, N. (s.f.). </w:t>
      </w:r>
      <w:r>
        <w:rPr>
          <w:i/>
        </w:rPr>
        <w:t>Coverage.py</w:t>
      </w:r>
      <w:r>
        <w:t xml:space="preserve"> [Documentación]. https://coverage.readthedocs.io/</w:t>
      </w:r>
    </w:p>
    <w:p>
      <w:pPr>
        <w:keepNext/>
        <w:spacing w:before="0" w:after="80" w:line="276" w:lineRule="auto"/>
        <w:ind w:left="567" w:hanging="567"/>
      </w:pPr>
      <w:r>
        <w:t xml:space="preserve">Beck, K. (2003). </w:t>
      </w:r>
      <w:r>
        <w:rPr>
          <w:i/>
        </w:rPr>
        <w:t>Test-driven development: By example</w:t>
      </w:r>
      <w:r>
        <w:t>. Addison-Wesley.</w:t>
      </w:r>
    </w:p>
    <w:p>
      <w:pPr>
        <w:keepNext/>
        <w:spacing w:before="0" w:after="80" w:line="276" w:lineRule="auto"/>
        <w:ind w:left="567" w:hanging="567"/>
      </w:pPr>
      <w:r>
        <w:t xml:space="preserve">Componentes de Lógica de Negocios. (2026). </w:t>
      </w:r>
      <w:r>
        <w:rPr>
          <w:i/>
        </w:rPr>
        <w:t>Laboratorio guiado Unidad 5: Integración, pruebas y calidad</w:t>
      </w:r>
      <w:r>
        <w:t xml:space="preserve"> [Material del curso]. Facultad de Ingeniería Mecánica y Eléctrica, UANL.</w:t>
      </w:r>
    </w:p>
    <w:p>
      <w:pPr>
        <w:keepNext/>
        <w:spacing w:before="0" w:after="80" w:line="276" w:lineRule="auto"/>
        <w:ind w:left="567" w:hanging="567"/>
      </w:pPr>
      <w:r>
        <w:t xml:space="preserve">Cotlame Nieto, L. A., Bethancourt Contreras, C., &amp; Mora Ruiz, F. (2026). </w:t>
      </w:r>
      <w:r>
        <w:rPr>
          <w:i/>
        </w:rPr>
        <w:t>Reporte BRD corregido, historias de usuario y glosario de Eventos Nova</w:t>
      </w:r>
      <w:r>
        <w:t xml:space="preserve"> [Documentos no publicados]. FIME, UANL.</w:t>
      </w:r>
    </w:p>
    <w:p>
      <w:pPr>
        <w:keepNext/>
        <w:spacing w:before="0" w:after="80" w:line="276" w:lineRule="auto"/>
        <w:ind w:left="567" w:hanging="567"/>
      </w:pPr>
      <w:r>
        <w:t xml:space="preserve">GitHub. (s.f.). </w:t>
      </w:r>
      <w:r>
        <w:rPr>
          <w:i/>
        </w:rPr>
        <w:t>Workflow syntax</w:t>
      </w:r>
      <w:r>
        <w:t>. GitHub Docs. https://docs.github.com/en/actions/reference/workflows-and-actions/workflow-syntax</w:t>
      </w:r>
    </w:p>
    <w:p>
      <w:pPr>
        <w:keepNext/>
        <w:spacing w:before="0" w:after="80" w:line="276" w:lineRule="auto"/>
        <w:ind w:left="567" w:hanging="567"/>
      </w:pPr>
      <w:r>
        <w:t xml:space="preserve">Meszaros, G. (2007). </w:t>
      </w:r>
      <w:r>
        <w:rPr>
          <w:i/>
        </w:rPr>
        <w:t>xUnit test patterns: Refactoring test code</w:t>
      </w:r>
      <w:r>
        <w:t>. Addison-Wesley.</w:t>
      </w:r>
    </w:p>
    <w:p>
      <w:pPr>
        <w:keepNext/>
        <w:spacing w:before="0" w:after="80" w:line="276" w:lineRule="auto"/>
        <w:ind w:left="567" w:hanging="567"/>
      </w:pPr>
      <w:r>
        <w:t xml:space="preserve">pytest-dev. (s.f.). </w:t>
      </w:r>
      <w:r>
        <w:rPr>
          <w:i/>
        </w:rPr>
        <w:t>How to use skip and xfail to deal with tests that cannot succeed</w:t>
      </w:r>
      <w:r>
        <w:t>. pytest documentation. https://docs.pytest.org/en/stable/how-to/skipping.html</w:t>
      </w:r>
    </w:p>
    <w:p>
      <w:pPr>
        <w:keepNext/>
        <w:spacing w:before="0" w:after="80" w:line="276" w:lineRule="auto"/>
        <w:ind w:left="567" w:hanging="567"/>
      </w:pPr>
      <w:r>
        <w:t xml:space="preserve">pytest-dev. (s.f.). </w:t>
      </w:r>
      <w:r>
        <w:rPr>
          <w:i/>
        </w:rPr>
        <w:t>pytest-cov</w:t>
      </w:r>
      <w:r>
        <w:t xml:space="preserve"> [Repositorio de código]. GitHub. https://github.com/pytest-dev/pytest-cov</w:t>
      </w:r>
    </w:p>
    <w:p>
      <w:pPr>
        <w:keepNext/>
        <w:spacing w:before="0" w:after="80" w:line="276" w:lineRule="auto"/>
        <w:ind w:left="567" w:hanging="567"/>
      </w:pPr>
      <w:r>
        <w:t xml:space="preserve">Python Software Foundation. (s.f.). </w:t>
      </w:r>
      <w:r>
        <w:rPr>
          <w:i/>
        </w:rPr>
        <w:t>unittest.mock — mock object library</w:t>
      </w:r>
      <w:r>
        <w:t>. Python 3 documentation. https://docs.python.org/3/library/unittest.mock.html</w:t>
      </w:r>
    </w:p>
    <w:p>
      <w:pPr>
        <w:keepNext/>
        <w:spacing w:before="0" w:after="80" w:line="276" w:lineRule="auto"/>
        <w:ind w:left="567" w:hanging="567"/>
      </w:pPr>
      <w:r>
        <w:t xml:space="preserve">SQLAlchemy. (s.f.). </w:t>
      </w:r>
      <w:r>
        <w:rPr>
          <w:i/>
        </w:rPr>
        <w:t>Transactions and connection management</w:t>
      </w:r>
      <w:r>
        <w:t>. SQLAlchemy 2.0 Documentation. https://docs.sqlalchemy.org/en/20/orm/session_transaction.html</w:t>
      </w:r>
    </w:p>
    <w:p>
      <w:r>
        <w:br w:type="page"/>
      </w:r>
    </w:p>
    <w:p>
      <w:pPr>
        <w:pStyle w:val="Ttulo1"/>
        <w:keepNext/>
      </w:pPr>
      <w:r>
        <w:t>Anexos</w:t>
      </w:r>
    </w:p>
    <w:p>
      <w:pPr>
        <w:pStyle w:val="Ttulo2"/>
        <w:keepNext/>
      </w:pPr>
      <w:r>
        <w:t>Anexo A. Matriz completa del laboratorio base</w:t>
      </w:r>
    </w:p>
    <w:p>
      <w:pPr>
        <w:keepNext/>
        <w:spacing w:before="160" w:after="60" w:line="276" w:lineRule="auto"/>
        <w:jc w:val="center"/>
      </w:pPr>
      <w:r>
        <w:rPr>
          <w:b/>
          <w:sz w:val="19"/>
        </w:rPr>
        <w:t xml:space="preserve">Tabla 10. </w:t>
      </w:r>
      <w:r>
        <w:rPr>
          <w:sz w:val="19"/>
        </w:rPr>
        <w:t>Matriz de pruebas del laboratorio base (27 casos)</w:t>
      </w:r>
    </w:p>
    <w:tbl>
      <w:tblPr>
        <w:tblStyle w:val="Tabladecuadrcula4-nfasis11"/>
        <w:tblW w:type="dxa" w:w="9639"/>
        <w:jc w:val="center"/>
        <w:tblLayout w:type="fixed"/>
        <w:tblLook w:firstColumn="1" w:firstRow="1" w:lastColumn="0" w:lastRow="0" w:noHBand="0" w:noVBand="1" w:val="04A0"/>
        <w:tblLayout w:type="fixed"/>
      </w:tblPr>
      <w:tblGrid>
        <w:gridCol w:w="793"/>
        <w:gridCol w:w="1927"/>
        <w:gridCol w:w="1757"/>
        <w:gridCol w:w="2608"/>
        <w:gridCol w:w="1077"/>
        <w:gridCol w:w="963"/>
        <w:gridCol w:w="510"/>
      </w:tblGrid>
      <w:tr>
        <w:trPr>
          <w:tblHeader w:val="true"/>
          <w:cantSplit w:val="true"/>
        </w:trPr>
        <w:tc>
          <w:tcPr>
            <w:tcW w:type="dxa" w:w="794"/>
          </w:tcPr>
          <w:p>
            <w:pPr>
              <w:jc w:val="center"/>
            </w:pPr>
            <w:r/>
            <w:r>
              <w:rPr>
                <w:b/>
                <w:sz w:val="15"/>
              </w:rPr>
              <w:t>ID</w:t>
            </w:r>
          </w:p>
        </w:tc>
        <w:tc>
          <w:tcPr>
            <w:tcW w:type="dxa" w:w="1928"/>
          </w:tcPr>
          <w:p>
            <w:pPr>
              <w:jc w:val="center"/>
            </w:pPr>
            <w:r/>
            <w:r>
              <w:rPr>
                <w:b/>
                <w:sz w:val="15"/>
              </w:rPr>
              <w:t>Regla</w:t>
            </w:r>
          </w:p>
        </w:tc>
        <w:tc>
          <w:tcPr>
            <w:tcW w:type="dxa" w:w="1757"/>
          </w:tcPr>
          <w:p>
            <w:pPr>
              <w:jc w:val="center"/>
            </w:pPr>
            <w:r/>
            <w:r>
              <w:rPr>
                <w:b/>
                <w:sz w:val="15"/>
              </w:rPr>
              <w:t>Entrada</w:t>
            </w:r>
          </w:p>
        </w:tc>
        <w:tc>
          <w:tcPr>
            <w:tcW w:type="dxa" w:w="2608"/>
          </w:tcPr>
          <w:p>
            <w:pPr>
              <w:jc w:val="center"/>
            </w:pPr>
            <w:r/>
            <w:r>
              <w:rPr>
                <w:b/>
                <w:sz w:val="15"/>
              </w:rPr>
              <w:t>Esperado</w:t>
            </w:r>
          </w:p>
        </w:tc>
        <w:tc>
          <w:tcPr>
            <w:tcW w:type="dxa" w:w="1077"/>
          </w:tcPr>
          <w:p>
            <w:pPr>
              <w:jc w:val="center"/>
            </w:pPr>
            <w:r/>
            <w:r>
              <w:rPr>
                <w:b/>
                <w:sz w:val="15"/>
              </w:rPr>
              <w:t>Categoría</w:t>
            </w:r>
          </w:p>
        </w:tc>
        <w:tc>
          <w:tcPr>
            <w:tcW w:type="dxa" w:w="964"/>
          </w:tcPr>
          <w:p>
            <w:pPr>
              <w:jc w:val="center"/>
            </w:pPr>
            <w:r/>
            <w:r>
              <w:rPr>
                <w:b/>
                <w:sz w:val="15"/>
              </w:rPr>
              <w:t>Estado</w:t>
            </w:r>
          </w:p>
        </w:tc>
        <w:tc>
          <w:tcPr>
            <w:tcW w:type="dxa" w:w="510"/>
          </w:tcPr>
          <w:p>
            <w:pPr>
              <w:jc w:val="center"/>
            </w:pPr>
            <w:r/>
            <w:r>
              <w:rPr>
                <w:b/>
                <w:sz w:val="15"/>
              </w:rPr>
              <w:t>Ev.</w:t>
            </w:r>
          </w:p>
        </w:tc>
      </w:tr>
      <w:tr>
        <w:trPr>
          <w:cantSplit w:val="true"/>
        </w:trPr>
        <w:tc>
          <w:tcPr>
            <w:tcW w:type="dxa" w:w="794"/>
          </w:tcPr>
          <w:p>
            <w:pPr>
              <w:spacing w:after="20"/>
            </w:pPr>
            <w:r/>
            <w:r>
              <w:rPr>
                <w:sz w:val="15"/>
              </w:rPr>
              <w:t>LAB-01</w:t>
            </w:r>
          </w:p>
        </w:tc>
        <w:tc>
          <w:tcPr>
            <w:tcW w:type="dxa" w:w="1928"/>
          </w:tcPr>
          <w:p>
            <w:pPr>
              <w:spacing w:after="20"/>
            </w:pPr>
            <w:r/>
            <w:r>
              <w:rPr>
                <w:sz w:val="15"/>
              </w:rPr>
              <w:t>Pedido regular sin descuento</w:t>
            </w:r>
          </w:p>
        </w:tc>
        <w:tc>
          <w:tcPr>
            <w:tcW w:type="dxa" w:w="1757"/>
          </w:tcPr>
          <w:p>
            <w:pPr>
              <w:spacing w:after="20"/>
            </w:pPr>
            <w:r/>
            <w:r>
              <w:rPr>
                <w:sz w:val="15"/>
              </w:rPr>
              <w:t>CP01: total 120, regular</w:t>
            </w:r>
          </w:p>
        </w:tc>
        <w:tc>
          <w:tcPr>
            <w:tcW w:type="dxa" w:w="2608"/>
          </w:tcPr>
          <w:p>
            <w:pPr>
              <w:spacing w:after="20"/>
            </w:pPr>
            <w:r/>
            <w:r>
              <w:rPr>
                <w:sz w:val="15"/>
              </w:rPr>
              <w:t>CONFIRMED, cobro 120.00</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LAB-02</w:t>
            </w:r>
          </w:p>
        </w:tc>
        <w:tc>
          <w:tcPr>
            <w:tcW w:type="dxa" w:w="1928"/>
          </w:tcPr>
          <w:p>
            <w:pPr>
              <w:spacing w:after="20"/>
            </w:pPr>
            <w:r/>
            <w:r>
              <w:rPr>
                <w:sz w:val="15"/>
              </w:rPr>
              <w:t>Descuento VIP 15 %</w:t>
            </w:r>
          </w:p>
        </w:tc>
        <w:tc>
          <w:tcPr>
            <w:tcW w:type="dxa" w:w="1757"/>
          </w:tcPr>
          <w:p>
            <w:pPr>
              <w:spacing w:after="20"/>
            </w:pPr>
            <w:r/>
            <w:r>
              <w:rPr>
                <w:sz w:val="15"/>
              </w:rPr>
              <w:t>total 200, VIP</w:t>
            </w:r>
          </w:p>
        </w:tc>
        <w:tc>
          <w:tcPr>
            <w:tcW w:type="dxa" w:w="2608"/>
          </w:tcPr>
          <w:p>
            <w:pPr>
              <w:spacing w:after="20"/>
            </w:pPr>
            <w:r/>
            <w:r>
              <w:rPr>
                <w:sz w:val="15"/>
              </w:rPr>
              <w:t>Descuento 30; cobro 170; estado CONFIRMED</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LAB-03</w:t>
            </w:r>
          </w:p>
        </w:tc>
        <w:tc>
          <w:tcPr>
            <w:tcW w:type="dxa" w:w="1928"/>
          </w:tcPr>
          <w:p>
            <w:pPr>
              <w:spacing w:after="20"/>
            </w:pPr>
            <w:r/>
            <w:r>
              <w:rPr>
                <w:sz w:val="15"/>
              </w:rPr>
              <w:t>Pedido regular sin descuento</w:t>
            </w:r>
          </w:p>
        </w:tc>
        <w:tc>
          <w:tcPr>
            <w:tcW w:type="dxa" w:w="1757"/>
          </w:tcPr>
          <w:p>
            <w:pPr>
              <w:spacing w:after="20"/>
            </w:pPr>
            <w:r/>
            <w:r>
              <w:rPr>
                <w:sz w:val="15"/>
              </w:rPr>
              <w:t>total 200, regular</w:t>
            </w:r>
          </w:p>
        </w:tc>
        <w:tc>
          <w:tcPr>
            <w:tcW w:type="dxa" w:w="2608"/>
          </w:tcPr>
          <w:p>
            <w:pPr>
              <w:spacing w:after="20"/>
            </w:pPr>
            <w:r/>
            <w:r>
              <w:rPr>
                <w:sz w:val="15"/>
              </w:rPr>
              <w:t>Descuento 0; cobro 200; estado CONFIRMED</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LAB-04</w:t>
            </w:r>
          </w:p>
        </w:tc>
        <w:tc>
          <w:tcPr>
            <w:tcW w:type="dxa" w:w="1928"/>
          </w:tcPr>
          <w:p>
            <w:pPr>
              <w:spacing w:after="20"/>
            </w:pPr>
            <w:r/>
            <w:r>
              <w:rPr>
                <w:sz w:val="15"/>
              </w:rPr>
              <w:t>Descuento VIP 15 %</w:t>
            </w:r>
          </w:p>
        </w:tc>
        <w:tc>
          <w:tcPr>
            <w:tcW w:type="dxa" w:w="1757"/>
          </w:tcPr>
          <w:p>
            <w:pPr>
              <w:spacing w:after="20"/>
            </w:pPr>
            <w:r/>
            <w:r>
              <w:rPr>
                <w:sz w:val="15"/>
              </w:rPr>
              <w:t>total 1000, VIP (CP06)</w:t>
            </w:r>
          </w:p>
        </w:tc>
        <w:tc>
          <w:tcPr>
            <w:tcW w:type="dxa" w:w="2608"/>
          </w:tcPr>
          <w:p>
            <w:pPr>
              <w:spacing w:after="20"/>
            </w:pPr>
            <w:r/>
            <w:r>
              <w:rPr>
                <w:sz w:val="15"/>
              </w:rPr>
              <w:t>Descuento 150; cobro 850</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LAB-05</w:t>
            </w:r>
          </w:p>
        </w:tc>
        <w:tc>
          <w:tcPr>
            <w:tcW w:type="dxa" w:w="1928"/>
          </w:tcPr>
          <w:p>
            <w:pPr>
              <w:spacing w:after="20"/>
            </w:pPr>
            <w:r/>
            <w:r>
              <w:rPr>
                <w:sz w:val="15"/>
              </w:rPr>
              <w:t>Persistencia con commit</w:t>
            </w:r>
          </w:p>
        </w:tc>
        <w:tc>
          <w:tcPr>
            <w:tcW w:type="dxa" w:w="1757"/>
          </w:tcPr>
          <w:p>
            <w:pPr>
              <w:spacing w:after="20"/>
            </w:pPr>
            <w:r/>
            <w:r>
              <w:rPr>
                <w:sz w:val="15"/>
              </w:rPr>
              <w:t>id 2, total 250</w:t>
            </w:r>
          </w:p>
        </w:tc>
        <w:tc>
          <w:tcPr>
            <w:tcW w:type="dxa" w:w="2608"/>
          </w:tcPr>
          <w:p>
            <w:pPr>
              <w:spacing w:after="20"/>
            </w:pPr>
            <w:r/>
            <w:r>
              <w:rPr>
                <w:sz w:val="15"/>
              </w:rPr>
              <w:t>Registro id 2, total 250, estado NEW visible</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E4</w:t>
            </w:r>
          </w:p>
        </w:tc>
      </w:tr>
      <w:tr>
        <w:trPr>
          <w:cantSplit w:val="true"/>
        </w:trPr>
        <w:tc>
          <w:tcPr>
            <w:tcW w:type="dxa" w:w="794"/>
          </w:tcPr>
          <w:p>
            <w:pPr>
              <w:spacing w:after="20"/>
            </w:pPr>
            <w:r/>
            <w:r>
              <w:rPr>
                <w:sz w:val="15"/>
              </w:rPr>
              <w:t>LAB-06</w:t>
            </w:r>
          </w:p>
        </w:tc>
        <w:tc>
          <w:tcPr>
            <w:tcW w:type="dxa" w:w="1928"/>
          </w:tcPr>
          <w:p>
            <w:pPr>
              <w:spacing w:after="20"/>
            </w:pPr>
            <w:r/>
            <w:r>
              <w:rPr>
                <w:sz w:val="15"/>
              </w:rPr>
              <w:t>Cobro con pasarela (aprobado)</w:t>
            </w:r>
          </w:p>
        </w:tc>
        <w:tc>
          <w:tcPr>
            <w:tcW w:type="dxa" w:w="1757"/>
          </w:tcPr>
          <w:p>
            <w:pPr>
              <w:spacing w:after="20"/>
            </w:pPr>
            <w:r/>
            <w:r>
              <w:rPr>
                <w:sz w:val="15"/>
              </w:rPr>
              <w:t>total 200, VIP</w:t>
            </w:r>
          </w:p>
        </w:tc>
        <w:tc>
          <w:tcPr>
            <w:tcW w:type="dxa" w:w="2608"/>
          </w:tcPr>
          <w:p>
            <w:pPr>
              <w:spacing w:after="20"/>
            </w:pPr>
            <w:r/>
            <w:r>
              <w:rPr>
                <w:sz w:val="15"/>
              </w:rPr>
              <w:t>Devuelve 170; charge() llamado una vez con 170; CONFIRMED</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E5</w:t>
            </w:r>
          </w:p>
        </w:tc>
      </w:tr>
      <w:tr>
        <w:trPr>
          <w:cantSplit w:val="true"/>
        </w:trPr>
        <w:tc>
          <w:tcPr>
            <w:tcW w:type="dxa" w:w="794"/>
          </w:tcPr>
          <w:p>
            <w:pPr>
              <w:spacing w:after="20"/>
            </w:pPr>
            <w:r/>
            <w:r>
              <w:rPr>
                <w:sz w:val="15"/>
              </w:rPr>
              <w:t>LAB-07</w:t>
            </w:r>
          </w:p>
        </w:tc>
        <w:tc>
          <w:tcPr>
            <w:tcW w:type="dxa" w:w="1928"/>
          </w:tcPr>
          <w:p>
            <w:pPr>
              <w:spacing w:after="20"/>
            </w:pPr>
            <w:r/>
            <w:r>
              <w:rPr>
                <w:sz w:val="15"/>
              </w:rPr>
              <w:t>Cancelación por administrador</w:t>
            </w:r>
          </w:p>
        </w:tc>
        <w:tc>
          <w:tcPr>
            <w:tcW w:type="dxa" w:w="1757"/>
          </w:tcPr>
          <w:p>
            <w:pPr>
              <w:spacing w:after="20"/>
            </w:pPr>
            <w:r/>
            <w:r>
              <w:rPr>
                <w:sz w:val="15"/>
              </w:rPr>
              <w:t>admin, estado NEW</w:t>
            </w:r>
          </w:p>
        </w:tc>
        <w:tc>
          <w:tcPr>
            <w:tcW w:type="dxa" w:w="2608"/>
          </w:tcPr>
          <w:p>
            <w:pPr>
              <w:spacing w:after="20"/>
            </w:pPr>
            <w:r/>
            <w:r>
              <w:rPr>
                <w:sz w:val="15"/>
              </w:rPr>
              <w:t>Permitido</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E6</w:t>
            </w:r>
          </w:p>
        </w:tc>
      </w:tr>
      <w:tr>
        <w:trPr>
          <w:cantSplit w:val="true"/>
        </w:trPr>
        <w:tc>
          <w:tcPr>
            <w:tcW w:type="dxa" w:w="794"/>
          </w:tcPr>
          <w:p>
            <w:pPr>
              <w:spacing w:after="20"/>
            </w:pPr>
            <w:r/>
            <w:r>
              <w:rPr>
                <w:sz w:val="15"/>
              </w:rPr>
              <w:t>LAB-08</w:t>
            </w:r>
          </w:p>
        </w:tc>
        <w:tc>
          <w:tcPr>
            <w:tcW w:type="dxa" w:w="1928"/>
          </w:tcPr>
          <w:p>
            <w:pPr>
              <w:spacing w:after="20"/>
            </w:pPr>
            <w:r/>
            <w:r>
              <w:rPr>
                <w:sz w:val="15"/>
              </w:rPr>
              <w:t>Cancelación por propietario &lt; 24 h</w:t>
            </w:r>
          </w:p>
        </w:tc>
        <w:tc>
          <w:tcPr>
            <w:tcW w:type="dxa" w:w="1757"/>
          </w:tcPr>
          <w:p>
            <w:pPr>
              <w:spacing w:after="20"/>
            </w:pPr>
            <w:r/>
            <w:r>
              <w:rPr>
                <w:sz w:val="15"/>
              </w:rPr>
              <w:t>propietario no admin</w:t>
            </w:r>
          </w:p>
        </w:tc>
        <w:tc>
          <w:tcPr>
            <w:tcW w:type="dxa" w:w="2608"/>
          </w:tcPr>
          <w:p>
            <w:pPr>
              <w:spacing w:after="20"/>
            </w:pPr>
            <w:r/>
            <w:r>
              <w:rPr>
                <w:sz w:val="15"/>
              </w:rPr>
              <w:t>Permitido</w:t>
            </w:r>
          </w:p>
        </w:tc>
        <w:tc>
          <w:tcPr>
            <w:tcW w:type="dxa" w:w="1077"/>
          </w:tcPr>
          <w:p>
            <w:pPr>
              <w:spacing w:after="20"/>
            </w:pPr>
            <w:r/>
            <w:r>
              <w:rPr>
                <w:sz w:val="15"/>
              </w:rPr>
              <w:t>Éxito</w:t>
            </w:r>
          </w:p>
        </w:tc>
        <w:tc>
          <w:tcPr>
            <w:tcW w:type="dxa" w:w="964"/>
          </w:tcPr>
          <w:p>
            <w:pPr>
              <w:spacing w:after="20"/>
            </w:pPr>
            <w:r/>
            <w:r>
              <w:rPr>
                <w:sz w:val="15"/>
              </w:rPr>
              <w:t>PASSED</w:t>
            </w:r>
          </w:p>
        </w:tc>
        <w:tc>
          <w:tcPr>
            <w:tcW w:type="dxa" w:w="510"/>
          </w:tcPr>
          <w:p>
            <w:pPr>
              <w:spacing w:after="20"/>
            </w:pPr>
            <w:r/>
            <w:r>
              <w:rPr>
                <w:sz w:val="15"/>
              </w:rPr>
              <w:t>E6</w:t>
            </w:r>
          </w:p>
        </w:tc>
      </w:tr>
      <w:tr>
        <w:trPr>
          <w:cantSplit w:val="true"/>
        </w:trPr>
        <w:tc>
          <w:tcPr>
            <w:tcW w:type="dxa" w:w="794"/>
          </w:tcPr>
          <w:p>
            <w:pPr>
              <w:spacing w:after="20"/>
            </w:pPr>
            <w:r/>
            <w:r>
              <w:rPr>
                <w:sz w:val="15"/>
              </w:rPr>
              <w:t>LAB-09</w:t>
            </w:r>
          </w:p>
        </w:tc>
        <w:tc>
          <w:tcPr>
            <w:tcW w:type="dxa" w:w="1928"/>
          </w:tcPr>
          <w:p>
            <w:pPr>
              <w:spacing w:after="20"/>
            </w:pPr>
            <w:r/>
            <w:r>
              <w:rPr>
                <w:sz w:val="15"/>
              </w:rPr>
              <w:t>Total debe ser positivo</w:t>
            </w:r>
          </w:p>
        </w:tc>
        <w:tc>
          <w:tcPr>
            <w:tcW w:type="dxa" w:w="1757"/>
          </w:tcPr>
          <w:p>
            <w:pPr>
              <w:spacing w:after="20"/>
            </w:pPr>
            <w:r/>
            <w:r>
              <w:rPr>
                <w:sz w:val="15"/>
              </w:rPr>
              <w:t>total 0</w:t>
            </w:r>
          </w:p>
        </w:tc>
        <w:tc>
          <w:tcPr>
            <w:tcW w:type="dxa" w:w="2608"/>
          </w:tcPr>
          <w:p>
            <w:pPr>
              <w:spacing w:after="20"/>
            </w:pPr>
            <w:r/>
            <w:r>
              <w:rPr>
                <w:sz w:val="15"/>
              </w:rPr>
              <w:t>ValueError("total must be positive"); estado sigue NEW</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LAB-10</w:t>
            </w:r>
          </w:p>
        </w:tc>
        <w:tc>
          <w:tcPr>
            <w:tcW w:type="dxa" w:w="1928"/>
          </w:tcPr>
          <w:p>
            <w:pPr>
              <w:spacing w:after="20"/>
            </w:pPr>
            <w:r/>
            <w:r>
              <w:rPr>
                <w:sz w:val="15"/>
              </w:rPr>
              <w:t>Total debe ser positivo</w:t>
            </w:r>
          </w:p>
        </w:tc>
        <w:tc>
          <w:tcPr>
            <w:tcW w:type="dxa" w:w="1757"/>
          </w:tcPr>
          <w:p>
            <w:pPr>
              <w:spacing w:after="20"/>
            </w:pPr>
            <w:r/>
            <w:r>
              <w:rPr>
                <w:sz w:val="15"/>
              </w:rPr>
              <w:t>total -10</w:t>
            </w:r>
          </w:p>
        </w:tc>
        <w:tc>
          <w:tcPr>
            <w:tcW w:type="dxa" w:w="2608"/>
          </w:tcPr>
          <w:p>
            <w:pPr>
              <w:spacing w:after="20"/>
            </w:pPr>
            <w:r/>
            <w:r>
              <w:rPr>
                <w:sz w:val="15"/>
              </w:rPr>
              <w:t>ValueError; estado sigue NEW</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LAB-11</w:t>
            </w:r>
          </w:p>
        </w:tc>
        <w:tc>
          <w:tcPr>
            <w:tcW w:type="dxa" w:w="1928"/>
          </w:tcPr>
          <w:p>
            <w:pPr>
              <w:spacing w:after="20"/>
            </w:pPr>
            <w:r/>
            <w:r>
              <w:rPr>
                <w:sz w:val="15"/>
              </w:rPr>
              <w:t>Cliente con deuda no confirma</w:t>
            </w:r>
          </w:p>
        </w:tc>
        <w:tc>
          <w:tcPr>
            <w:tcW w:type="dxa" w:w="1757"/>
          </w:tcPr>
          <w:p>
            <w:pPr>
              <w:spacing w:after="20"/>
            </w:pPr>
            <w:r/>
            <w:r>
              <w:rPr>
                <w:sz w:val="15"/>
              </w:rPr>
              <w:t>total 500, deuda 250 (CP11)</w:t>
            </w:r>
          </w:p>
        </w:tc>
        <w:tc>
          <w:tcPr>
            <w:tcW w:type="dxa" w:w="2608"/>
          </w:tcPr>
          <w:p>
            <w:pPr>
              <w:spacing w:after="20"/>
            </w:pPr>
            <w:r/>
            <w:r>
              <w:rPr>
                <w:sz w:val="15"/>
              </w:rPr>
              <w:t>CustomerHasDebt; estado NEW; sin descuento</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LAB-12</w:t>
            </w:r>
          </w:p>
        </w:tc>
        <w:tc>
          <w:tcPr>
            <w:tcW w:type="dxa" w:w="1928"/>
          </w:tcPr>
          <w:p>
            <w:pPr>
              <w:spacing w:after="20"/>
            </w:pPr>
            <w:r/>
            <w:r>
              <w:rPr>
                <w:sz w:val="15"/>
              </w:rPr>
              <w:t>No confirmar dos veces (TDD)</w:t>
            </w:r>
          </w:p>
        </w:tc>
        <w:tc>
          <w:tcPr>
            <w:tcW w:type="dxa" w:w="1757"/>
          </w:tcPr>
          <w:p>
            <w:pPr>
              <w:spacing w:after="20"/>
            </w:pPr>
            <w:r/>
            <w:r>
              <w:rPr>
                <w:sz w:val="15"/>
              </w:rPr>
              <w:t>total 100</w:t>
            </w:r>
          </w:p>
        </w:tc>
        <w:tc>
          <w:tcPr>
            <w:tcW w:type="dxa" w:w="2608"/>
          </w:tcPr>
          <w:p>
            <w:pPr>
              <w:spacing w:after="20"/>
            </w:pPr>
            <w:r/>
            <w:r>
              <w:rPr>
                <w:sz w:val="15"/>
              </w:rPr>
              <w:t>ValueError("already confirmed")</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E3</w:t>
            </w:r>
          </w:p>
        </w:tc>
      </w:tr>
      <w:tr>
        <w:trPr>
          <w:cantSplit w:val="true"/>
        </w:trPr>
        <w:tc>
          <w:tcPr>
            <w:tcW w:type="dxa" w:w="794"/>
          </w:tcPr>
          <w:p>
            <w:pPr>
              <w:spacing w:after="20"/>
            </w:pPr>
            <w:r/>
            <w:r>
              <w:rPr>
                <w:sz w:val="15"/>
              </w:rPr>
              <w:t>LAB-13</w:t>
            </w:r>
          </w:p>
        </w:tc>
        <w:tc>
          <w:tcPr>
            <w:tcW w:type="dxa" w:w="1928"/>
          </w:tcPr>
          <w:p>
            <w:pPr>
              <w:spacing w:after="20"/>
            </w:pPr>
            <w:r/>
            <w:r>
              <w:rPr>
                <w:sz w:val="15"/>
              </w:rPr>
              <w:t>Cobro con pasarela (rechazado)</w:t>
            </w:r>
          </w:p>
        </w:tc>
        <w:tc>
          <w:tcPr>
            <w:tcW w:type="dxa" w:w="1757"/>
          </w:tcPr>
          <w:p>
            <w:pPr>
              <w:spacing w:after="20"/>
            </w:pPr>
            <w:r/>
            <w:r>
              <w:rPr>
                <w:sz w:val="15"/>
              </w:rPr>
              <w:t>total 200, VIP</w:t>
            </w:r>
          </w:p>
        </w:tc>
        <w:tc>
          <w:tcPr>
            <w:tcW w:type="dxa" w:w="2608"/>
          </w:tcPr>
          <w:p>
            <w:pPr>
              <w:spacing w:after="20"/>
            </w:pPr>
            <w:r/>
            <w:r>
              <w:rPr>
                <w:sz w:val="15"/>
              </w:rPr>
              <w:t>RuntimeError("payment rejected"); charge() llamado con 170</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E5</w:t>
            </w:r>
          </w:p>
        </w:tc>
      </w:tr>
      <w:tr>
        <w:trPr>
          <w:cantSplit w:val="true"/>
        </w:trPr>
        <w:tc>
          <w:tcPr>
            <w:tcW w:type="dxa" w:w="794"/>
          </w:tcPr>
          <w:p>
            <w:pPr>
              <w:spacing w:after="20"/>
            </w:pPr>
            <w:r/>
            <w:r>
              <w:rPr>
                <w:sz w:val="15"/>
              </w:rPr>
              <w:t>LAB-14</w:t>
            </w:r>
          </w:p>
        </w:tc>
        <w:tc>
          <w:tcPr>
            <w:tcW w:type="dxa" w:w="1928"/>
          </w:tcPr>
          <w:p>
            <w:pPr>
              <w:spacing w:after="20"/>
            </w:pPr>
            <w:r/>
            <w:r>
              <w:rPr>
                <w:sz w:val="15"/>
              </w:rPr>
              <w:t>Timeout de la pasarela</w:t>
            </w:r>
          </w:p>
        </w:tc>
        <w:tc>
          <w:tcPr>
            <w:tcW w:type="dxa" w:w="1757"/>
          </w:tcPr>
          <w:p>
            <w:pPr>
              <w:spacing w:after="20"/>
            </w:pPr>
            <w:r/>
            <w:r>
              <w:rPr>
                <w:sz w:val="15"/>
              </w:rPr>
              <w:t>total 120</w:t>
            </w:r>
          </w:p>
        </w:tc>
        <w:tc>
          <w:tcPr>
            <w:tcW w:type="dxa" w:w="2608"/>
          </w:tcPr>
          <w:p>
            <w:pPr>
              <w:spacing w:after="20"/>
            </w:pPr>
            <w:r/>
            <w:r>
              <w:rPr>
                <w:sz w:val="15"/>
              </w:rPr>
              <w:t>TimeoutError propagado; un solo intento (sin reintentos implementados)</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E5</w:t>
            </w:r>
          </w:p>
        </w:tc>
      </w:tr>
      <w:tr>
        <w:trPr>
          <w:cantSplit w:val="true"/>
        </w:trPr>
        <w:tc>
          <w:tcPr>
            <w:tcW w:type="dxa" w:w="794"/>
          </w:tcPr>
          <w:p>
            <w:pPr>
              <w:spacing w:after="20"/>
            </w:pPr>
            <w:r/>
            <w:r>
              <w:rPr>
                <w:sz w:val="15"/>
              </w:rPr>
              <w:t>LAB-15</w:t>
            </w:r>
          </w:p>
        </w:tc>
        <w:tc>
          <w:tcPr>
            <w:tcW w:type="dxa" w:w="1928"/>
          </w:tcPr>
          <w:p>
            <w:pPr>
              <w:spacing w:after="20"/>
            </w:pPr>
            <w:r/>
            <w:r>
              <w:rPr>
                <w:sz w:val="15"/>
              </w:rPr>
              <w:t>Unicidad de id</w:t>
            </w:r>
          </w:p>
        </w:tc>
        <w:tc>
          <w:tcPr>
            <w:tcW w:type="dxa" w:w="1757"/>
          </w:tcPr>
          <w:p>
            <w:pPr>
              <w:spacing w:after="20"/>
            </w:pPr>
            <w:r/>
            <w:r>
              <w:rPr>
                <w:sz w:val="15"/>
              </w:rPr>
              <w:t>id 1 repetido</w:t>
            </w:r>
          </w:p>
        </w:tc>
        <w:tc>
          <w:tcPr>
            <w:tcW w:type="dxa" w:w="2608"/>
          </w:tcPr>
          <w:p>
            <w:pPr>
              <w:spacing w:after="20"/>
            </w:pPr>
            <w:r/>
            <w:r>
              <w:rPr>
                <w:sz w:val="15"/>
              </w:rPr>
              <w:t>IntegrityError; el registro original no cambia</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E4</w:t>
            </w:r>
          </w:p>
        </w:tc>
      </w:tr>
      <w:tr>
        <w:trPr>
          <w:cantSplit w:val="true"/>
        </w:trPr>
        <w:tc>
          <w:tcPr>
            <w:tcW w:type="dxa" w:w="794"/>
          </w:tcPr>
          <w:p>
            <w:pPr>
              <w:spacing w:after="20"/>
            </w:pPr>
            <w:r/>
            <w:r>
              <w:rPr>
                <w:sz w:val="15"/>
              </w:rPr>
              <w:t>LAB-16</w:t>
            </w:r>
          </w:p>
        </w:tc>
        <w:tc>
          <w:tcPr>
            <w:tcW w:type="dxa" w:w="1928"/>
          </w:tcPr>
          <w:p>
            <w:pPr>
              <w:spacing w:after="20"/>
            </w:pPr>
            <w:r/>
            <w:r>
              <w:rPr>
                <w:sz w:val="15"/>
              </w:rPr>
              <w:t>Total no nulo</w:t>
            </w:r>
          </w:p>
        </w:tc>
        <w:tc>
          <w:tcPr>
            <w:tcW w:type="dxa" w:w="1757"/>
          </w:tcPr>
          <w:p>
            <w:pPr>
              <w:spacing w:after="20"/>
            </w:pPr>
            <w:r/>
            <w:r>
              <w:rPr>
                <w:sz w:val="15"/>
              </w:rPr>
              <w:t>total None</w:t>
            </w:r>
          </w:p>
        </w:tc>
        <w:tc>
          <w:tcPr>
            <w:tcW w:type="dxa" w:w="2608"/>
          </w:tcPr>
          <w:p>
            <w:pPr>
              <w:spacing w:after="20"/>
            </w:pPr>
            <w:r/>
            <w:r>
              <w:rPr>
                <w:sz w:val="15"/>
              </w:rPr>
              <w:t>IntegrityError; nada se guarda</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E4</w:t>
            </w:r>
          </w:p>
        </w:tc>
      </w:tr>
      <w:tr>
        <w:trPr>
          <w:cantSplit w:val="true"/>
        </w:trPr>
        <w:tc>
          <w:tcPr>
            <w:tcW w:type="dxa" w:w="794"/>
          </w:tcPr>
          <w:p>
            <w:pPr>
              <w:spacing w:after="20"/>
            </w:pPr>
            <w:r/>
            <w:r>
              <w:rPr>
                <w:sz w:val="15"/>
              </w:rPr>
              <w:t>LAB-17</w:t>
            </w:r>
          </w:p>
        </w:tc>
        <w:tc>
          <w:tcPr>
            <w:tcW w:type="dxa" w:w="1928"/>
          </w:tcPr>
          <w:p>
            <w:pPr>
              <w:spacing w:after="20"/>
            </w:pPr>
            <w:r/>
            <w:r>
              <w:rPr>
                <w:sz w:val="15"/>
              </w:rPr>
              <w:t>Rollback de cambios pendientes</w:t>
            </w:r>
          </w:p>
        </w:tc>
        <w:tc>
          <w:tcPr>
            <w:tcW w:type="dxa" w:w="1757"/>
          </w:tcPr>
          <w:p>
            <w:pPr>
              <w:spacing w:after="20"/>
            </w:pPr>
            <w:r/>
            <w:r>
              <w:rPr>
                <w:sz w:val="15"/>
              </w:rPr>
              <w:t>id 1 y 2</w:t>
            </w:r>
          </w:p>
        </w:tc>
        <w:tc>
          <w:tcPr>
            <w:tcW w:type="dxa" w:w="2608"/>
          </w:tcPr>
          <w:p>
            <w:pPr>
              <w:spacing w:after="20"/>
            </w:pPr>
            <w:r/>
            <w:r>
              <w:rPr>
                <w:sz w:val="15"/>
              </w:rPr>
              <w:t>Solo existe el pedido 1</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E4</w:t>
            </w:r>
          </w:p>
        </w:tc>
      </w:tr>
      <w:tr>
        <w:trPr>
          <w:cantSplit w:val="true"/>
        </w:trPr>
        <w:tc>
          <w:tcPr>
            <w:tcW w:type="dxa" w:w="794"/>
          </w:tcPr>
          <w:p>
            <w:pPr>
              <w:spacing w:after="20"/>
            </w:pPr>
            <w:r/>
            <w:r>
              <w:rPr>
                <w:sz w:val="15"/>
              </w:rPr>
              <w:t>LAB-18</w:t>
            </w:r>
          </w:p>
        </w:tc>
        <w:tc>
          <w:tcPr>
            <w:tcW w:type="dxa" w:w="1928"/>
          </w:tcPr>
          <w:p>
            <w:pPr>
              <w:spacing w:after="20"/>
            </w:pPr>
            <w:r/>
            <w:r>
              <w:rPr>
                <w:sz w:val="15"/>
              </w:rPr>
              <w:t>Tercero no autorizado</w:t>
            </w:r>
          </w:p>
        </w:tc>
        <w:tc>
          <w:tcPr>
            <w:tcW w:type="dxa" w:w="1757"/>
          </w:tcPr>
          <w:p>
            <w:pPr>
              <w:spacing w:after="20"/>
            </w:pPr>
            <w:r/>
            <w:r>
              <w:rPr>
                <w:sz w:val="15"/>
              </w:rPr>
              <w:t>usuario 2, no admin</w:t>
            </w:r>
          </w:p>
        </w:tc>
        <w:tc>
          <w:tcPr>
            <w:tcW w:type="dxa" w:w="2608"/>
          </w:tcPr>
          <w:p>
            <w:pPr>
              <w:spacing w:after="20"/>
            </w:pPr>
            <w:r/>
            <w:r>
              <w:rPr>
                <w:sz w:val="15"/>
              </w:rPr>
              <w:t>Denegado</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E6</w:t>
            </w:r>
          </w:p>
        </w:tc>
      </w:tr>
      <w:tr>
        <w:trPr>
          <w:cantSplit w:val="true"/>
        </w:trPr>
        <w:tc>
          <w:tcPr>
            <w:tcW w:type="dxa" w:w="794"/>
          </w:tcPr>
          <w:p>
            <w:pPr>
              <w:spacing w:after="20"/>
            </w:pPr>
            <w:r/>
            <w:r>
              <w:rPr>
                <w:sz w:val="15"/>
              </w:rPr>
              <w:t>LAB-19</w:t>
            </w:r>
          </w:p>
        </w:tc>
        <w:tc>
          <w:tcPr>
            <w:tcW w:type="dxa" w:w="1928"/>
          </w:tcPr>
          <w:p>
            <w:pPr>
              <w:spacing w:after="20"/>
            </w:pPr>
            <w:r/>
            <w:r>
              <w:rPr>
                <w:sz w:val="15"/>
              </w:rPr>
              <w:t>SHIPPED nunca se cancela</w:t>
            </w:r>
          </w:p>
        </w:tc>
        <w:tc>
          <w:tcPr>
            <w:tcW w:type="dxa" w:w="1757"/>
          </w:tcPr>
          <w:p>
            <w:pPr>
              <w:spacing w:after="20"/>
            </w:pPr>
            <w:r/>
            <w:r>
              <w:rPr>
                <w:sz w:val="15"/>
              </w:rPr>
              <w:t>administrador</w:t>
            </w:r>
          </w:p>
        </w:tc>
        <w:tc>
          <w:tcPr>
            <w:tcW w:type="dxa" w:w="2608"/>
          </w:tcPr>
          <w:p>
            <w:pPr>
              <w:spacing w:after="20"/>
            </w:pPr>
            <w:r/>
            <w:r>
              <w:rPr>
                <w:sz w:val="15"/>
              </w:rPr>
              <w:t>Denegado</w:t>
            </w:r>
          </w:p>
        </w:tc>
        <w:tc>
          <w:tcPr>
            <w:tcW w:type="dxa" w:w="1077"/>
          </w:tcPr>
          <w:p>
            <w:pPr>
              <w:spacing w:after="20"/>
            </w:pPr>
            <w:r/>
            <w:r>
              <w:rPr>
                <w:sz w:val="15"/>
              </w:rPr>
              <w:t>Error</w:t>
            </w:r>
          </w:p>
        </w:tc>
        <w:tc>
          <w:tcPr>
            <w:tcW w:type="dxa" w:w="964"/>
          </w:tcPr>
          <w:p>
            <w:pPr>
              <w:spacing w:after="20"/>
            </w:pPr>
            <w:r/>
            <w:r>
              <w:rPr>
                <w:sz w:val="15"/>
              </w:rPr>
              <w:t>PASSED</w:t>
            </w:r>
          </w:p>
        </w:tc>
        <w:tc>
          <w:tcPr>
            <w:tcW w:type="dxa" w:w="510"/>
          </w:tcPr>
          <w:p>
            <w:pPr>
              <w:spacing w:after="20"/>
            </w:pPr>
            <w:r/>
            <w:r>
              <w:rPr>
                <w:sz w:val="15"/>
              </w:rPr>
              <w:t>E6</w:t>
            </w:r>
          </w:p>
        </w:tc>
      </w:tr>
      <w:tr>
        <w:trPr>
          <w:cantSplit w:val="true"/>
        </w:trPr>
        <w:tc>
          <w:tcPr>
            <w:tcW w:type="dxa" w:w="794"/>
          </w:tcPr>
          <w:p>
            <w:pPr>
              <w:spacing w:after="20"/>
            </w:pPr>
            <w:r/>
            <w:r>
              <w:rPr>
                <w:sz w:val="15"/>
              </w:rPr>
              <w:t>LAB-20</w:t>
            </w:r>
          </w:p>
        </w:tc>
        <w:tc>
          <w:tcPr>
            <w:tcW w:type="dxa" w:w="1928"/>
          </w:tcPr>
          <w:p>
            <w:pPr>
              <w:spacing w:after="20"/>
            </w:pPr>
            <w:r/>
            <w:r>
              <w:rPr>
                <w:sz w:val="15"/>
              </w:rPr>
              <w:t>Total mínimo positivo</w:t>
            </w:r>
          </w:p>
        </w:tc>
        <w:tc>
          <w:tcPr>
            <w:tcW w:type="dxa" w:w="1757"/>
          </w:tcPr>
          <w:p>
            <w:pPr>
              <w:spacing w:after="20"/>
            </w:pPr>
            <w:r/>
            <w:r>
              <w:rPr>
                <w:sz w:val="15"/>
              </w:rPr>
              <w:t>total 0.01 (CP07)</w:t>
            </w:r>
          </w:p>
        </w:tc>
        <w:tc>
          <w:tcPr>
            <w:tcW w:type="dxa" w:w="2608"/>
          </w:tcPr>
          <w:p>
            <w:pPr>
              <w:spacing w:after="20"/>
            </w:pPr>
            <w:r/>
            <w:r>
              <w:rPr>
                <w:sz w:val="15"/>
              </w:rPr>
              <w:t>Descuento 0.00; cobro 0.01; CONFIRMED</w:t>
            </w:r>
          </w:p>
        </w:tc>
        <w:tc>
          <w:tcPr>
            <w:tcW w:type="dxa" w:w="1077"/>
          </w:tcPr>
          <w:p>
            <w:pPr>
              <w:spacing w:after="20"/>
            </w:pPr>
            <w:r/>
            <w:r>
              <w:rPr>
                <w:sz w:val="15"/>
              </w:rPr>
              <w:t>Límite</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LAB-21</w:t>
            </w:r>
          </w:p>
        </w:tc>
        <w:tc>
          <w:tcPr>
            <w:tcW w:type="dxa" w:w="1928"/>
          </w:tcPr>
          <w:p>
            <w:pPr>
              <w:spacing w:after="20"/>
            </w:pPr>
            <w:r/>
            <w:r>
              <w:rPr>
                <w:sz w:val="15"/>
              </w:rPr>
              <w:t>Deuda igual a cero</w:t>
            </w:r>
          </w:p>
        </w:tc>
        <w:tc>
          <w:tcPr>
            <w:tcW w:type="dxa" w:w="1757"/>
          </w:tcPr>
          <w:p>
            <w:pPr>
              <w:spacing w:after="20"/>
            </w:pPr>
            <w:r/>
            <w:r>
              <w:rPr>
                <w:sz w:val="15"/>
              </w:rPr>
              <w:t>total 120, deuda 0</w:t>
            </w:r>
          </w:p>
        </w:tc>
        <w:tc>
          <w:tcPr>
            <w:tcW w:type="dxa" w:w="2608"/>
          </w:tcPr>
          <w:p>
            <w:pPr>
              <w:spacing w:after="20"/>
            </w:pPr>
            <w:r/>
            <w:r>
              <w:rPr>
                <w:sz w:val="15"/>
              </w:rPr>
              <w:t>Cobro 120 (permitido)</w:t>
            </w:r>
          </w:p>
        </w:tc>
        <w:tc>
          <w:tcPr>
            <w:tcW w:type="dxa" w:w="1077"/>
          </w:tcPr>
          <w:p>
            <w:pPr>
              <w:spacing w:after="20"/>
            </w:pPr>
            <w:r/>
            <w:r>
              <w:rPr>
                <w:sz w:val="15"/>
              </w:rPr>
              <w:t>Límite</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LAB-22</w:t>
            </w:r>
          </w:p>
        </w:tc>
        <w:tc>
          <w:tcPr>
            <w:tcW w:type="dxa" w:w="1928"/>
          </w:tcPr>
          <w:p>
            <w:pPr>
              <w:spacing w:after="20"/>
            </w:pPr>
            <w:r/>
            <w:r>
              <w:rPr>
                <w:sz w:val="15"/>
              </w:rPr>
              <w:t>Deuda mínima positiva</w:t>
            </w:r>
          </w:p>
        </w:tc>
        <w:tc>
          <w:tcPr>
            <w:tcW w:type="dxa" w:w="1757"/>
          </w:tcPr>
          <w:p>
            <w:pPr>
              <w:spacing w:after="20"/>
            </w:pPr>
            <w:r/>
            <w:r>
              <w:rPr>
                <w:sz w:val="15"/>
              </w:rPr>
              <w:t>total 120, deuda 0.01</w:t>
            </w:r>
          </w:p>
        </w:tc>
        <w:tc>
          <w:tcPr>
            <w:tcW w:type="dxa" w:w="2608"/>
          </w:tcPr>
          <w:p>
            <w:pPr>
              <w:spacing w:after="20"/>
            </w:pPr>
            <w:r/>
            <w:r>
              <w:rPr>
                <w:sz w:val="15"/>
              </w:rPr>
              <w:t>CustomerHasDebt</w:t>
            </w:r>
          </w:p>
        </w:tc>
        <w:tc>
          <w:tcPr>
            <w:tcW w:type="dxa" w:w="1077"/>
          </w:tcPr>
          <w:p>
            <w:pPr>
              <w:spacing w:after="20"/>
            </w:pPr>
            <w:r/>
            <w:r>
              <w:rPr>
                <w:sz w:val="15"/>
              </w:rPr>
              <w:t>Límite</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LAB-23</w:t>
            </w:r>
          </w:p>
        </w:tc>
        <w:tc>
          <w:tcPr>
            <w:tcW w:type="dxa" w:w="1928"/>
          </w:tcPr>
          <w:p>
            <w:pPr>
              <w:spacing w:after="20"/>
            </w:pPr>
            <w:r/>
            <w:r>
              <w:rPr>
                <w:sz w:val="15"/>
              </w:rPr>
              <w:t>Redondeo del descuento VIP</w:t>
            </w:r>
          </w:p>
        </w:tc>
        <w:tc>
          <w:tcPr>
            <w:tcW w:type="dxa" w:w="1757"/>
          </w:tcPr>
          <w:p>
            <w:pPr>
              <w:spacing w:after="20"/>
            </w:pPr>
            <w:r/>
            <w:r>
              <w:rPr>
                <w:sz w:val="15"/>
              </w:rPr>
              <w:t>total 99.99 (CP12)</w:t>
            </w:r>
          </w:p>
        </w:tc>
        <w:tc>
          <w:tcPr>
            <w:tcW w:type="dxa" w:w="2608"/>
          </w:tcPr>
          <w:p>
            <w:pPr>
              <w:spacing w:after="20"/>
            </w:pPr>
            <w:r/>
            <w:r>
              <w:rPr>
                <w:sz w:val="15"/>
              </w:rPr>
              <w:t>Descuento 15.00; cobro 84.99</w:t>
            </w:r>
          </w:p>
        </w:tc>
        <w:tc>
          <w:tcPr>
            <w:tcW w:type="dxa" w:w="1077"/>
          </w:tcPr>
          <w:p>
            <w:pPr>
              <w:spacing w:after="20"/>
            </w:pPr>
            <w:r/>
            <w:r>
              <w:rPr>
                <w:sz w:val="15"/>
              </w:rPr>
              <w:t>Límite</w:t>
            </w:r>
          </w:p>
        </w:tc>
        <w:tc>
          <w:tcPr>
            <w:tcW w:type="dxa" w:w="964"/>
          </w:tcPr>
          <w:p>
            <w:pPr>
              <w:spacing w:after="20"/>
            </w:pPr>
            <w:r/>
            <w:r>
              <w:rPr>
                <w:sz w:val="15"/>
              </w:rPr>
              <w:t>PASSED</w:t>
            </w:r>
          </w:p>
        </w:tc>
        <w:tc>
          <w:tcPr>
            <w:tcW w:type="dxa" w:w="510"/>
          </w:tcPr>
          <w:p>
            <w:pPr>
              <w:spacing w:after="20"/>
            </w:pPr>
            <w:r/>
            <w:r>
              <w:rPr>
                <w:sz w:val="15"/>
              </w:rPr>
              <w:t>E2</w:t>
            </w:r>
          </w:p>
        </w:tc>
      </w:tr>
      <w:tr>
        <w:trPr>
          <w:cantSplit w:val="true"/>
        </w:trPr>
        <w:tc>
          <w:tcPr>
            <w:tcW w:type="dxa" w:w="794"/>
          </w:tcPr>
          <w:p>
            <w:pPr>
              <w:spacing w:after="20"/>
            </w:pPr>
            <w:r/>
            <w:r>
              <w:rPr>
                <w:sz w:val="15"/>
              </w:rPr>
              <w:t>LAB-24</w:t>
            </w:r>
          </w:p>
        </w:tc>
        <w:tc>
          <w:tcPr>
            <w:tcW w:type="dxa" w:w="1928"/>
          </w:tcPr>
          <w:p>
            <w:pPr>
              <w:spacing w:after="20"/>
            </w:pPr>
            <w:r/>
            <w:r>
              <w:rPr>
                <w:sz w:val="15"/>
              </w:rPr>
              <w:t>Ventana de 24 h del propietario</w:t>
            </w:r>
          </w:p>
        </w:tc>
        <w:tc>
          <w:tcPr>
            <w:tcW w:type="dxa" w:w="1757"/>
          </w:tcPr>
          <w:p>
            <w:pPr>
              <w:spacing w:after="20"/>
            </w:pPr>
            <w:r/>
            <w:r>
              <w:rPr>
                <w:sz w:val="15"/>
              </w:rPr>
              <w:t>propietario no admin</w:t>
            </w:r>
          </w:p>
        </w:tc>
        <w:tc>
          <w:tcPr>
            <w:tcW w:type="dxa" w:w="2608"/>
          </w:tcPr>
          <w:p>
            <w:pPr>
              <w:spacing w:after="20"/>
            </w:pPr>
            <w:r/>
            <w:r>
              <w:rPr>
                <w:sz w:val="15"/>
              </w:rPr>
              <w:t>Denegado (el límite no se incluye)</w:t>
            </w:r>
          </w:p>
        </w:tc>
        <w:tc>
          <w:tcPr>
            <w:tcW w:type="dxa" w:w="1077"/>
          </w:tcPr>
          <w:p>
            <w:pPr>
              <w:spacing w:after="20"/>
            </w:pPr>
            <w:r/>
            <w:r>
              <w:rPr>
                <w:sz w:val="15"/>
              </w:rPr>
              <w:t>Límite</w:t>
            </w:r>
          </w:p>
        </w:tc>
        <w:tc>
          <w:tcPr>
            <w:tcW w:type="dxa" w:w="964"/>
          </w:tcPr>
          <w:p>
            <w:pPr>
              <w:spacing w:after="20"/>
            </w:pPr>
            <w:r/>
            <w:r>
              <w:rPr>
                <w:sz w:val="15"/>
              </w:rPr>
              <w:t>PASSED</w:t>
            </w:r>
          </w:p>
        </w:tc>
        <w:tc>
          <w:tcPr>
            <w:tcW w:type="dxa" w:w="510"/>
          </w:tcPr>
          <w:p>
            <w:pPr>
              <w:spacing w:after="20"/>
            </w:pPr>
            <w:r/>
            <w:r>
              <w:rPr>
                <w:sz w:val="15"/>
              </w:rPr>
              <w:t>E6</w:t>
            </w:r>
          </w:p>
        </w:tc>
      </w:tr>
      <w:tr>
        <w:trPr>
          <w:cantSplit w:val="true"/>
        </w:trPr>
        <w:tc>
          <w:tcPr>
            <w:tcW w:type="dxa" w:w="794"/>
          </w:tcPr>
          <w:p>
            <w:pPr>
              <w:spacing w:after="20"/>
            </w:pPr>
            <w:r/>
            <w:r>
              <w:rPr>
                <w:sz w:val="15"/>
              </w:rPr>
              <w:t>LAB-25</w:t>
            </w:r>
          </w:p>
        </w:tc>
        <w:tc>
          <w:tcPr>
            <w:tcW w:type="dxa" w:w="1928"/>
          </w:tcPr>
          <w:p>
            <w:pPr>
              <w:spacing w:after="20"/>
            </w:pPr>
            <w:r/>
            <w:r>
              <w:rPr>
                <w:sz w:val="15"/>
              </w:rPr>
              <w:t>Ventana de 24 h del propietario</w:t>
            </w:r>
          </w:p>
        </w:tc>
        <w:tc>
          <w:tcPr>
            <w:tcW w:type="dxa" w:w="1757"/>
          </w:tcPr>
          <w:p>
            <w:pPr>
              <w:spacing w:after="20"/>
            </w:pPr>
            <w:r/>
            <w:r>
              <w:rPr>
                <w:sz w:val="15"/>
              </w:rPr>
              <w:t>propietario no admin</w:t>
            </w:r>
          </w:p>
        </w:tc>
        <w:tc>
          <w:tcPr>
            <w:tcW w:type="dxa" w:w="2608"/>
          </w:tcPr>
          <w:p>
            <w:pPr>
              <w:spacing w:after="20"/>
            </w:pPr>
            <w:r/>
            <w:r>
              <w:rPr>
                <w:sz w:val="15"/>
              </w:rPr>
              <w:t>Permitido</w:t>
            </w:r>
          </w:p>
        </w:tc>
        <w:tc>
          <w:tcPr>
            <w:tcW w:type="dxa" w:w="1077"/>
          </w:tcPr>
          <w:p>
            <w:pPr>
              <w:spacing w:after="20"/>
            </w:pPr>
            <w:r/>
            <w:r>
              <w:rPr>
                <w:sz w:val="15"/>
              </w:rPr>
              <w:t>Límite</w:t>
            </w:r>
          </w:p>
        </w:tc>
        <w:tc>
          <w:tcPr>
            <w:tcW w:type="dxa" w:w="964"/>
          </w:tcPr>
          <w:p>
            <w:pPr>
              <w:spacing w:after="20"/>
            </w:pPr>
            <w:r/>
            <w:r>
              <w:rPr>
                <w:sz w:val="15"/>
              </w:rPr>
              <w:t>PASSED</w:t>
            </w:r>
          </w:p>
        </w:tc>
        <w:tc>
          <w:tcPr>
            <w:tcW w:type="dxa" w:w="510"/>
          </w:tcPr>
          <w:p>
            <w:pPr>
              <w:spacing w:after="20"/>
            </w:pPr>
            <w:r/>
            <w:r>
              <w:rPr>
                <w:sz w:val="15"/>
              </w:rPr>
              <w:t>E6</w:t>
            </w:r>
          </w:p>
        </w:tc>
      </w:tr>
      <w:tr>
        <w:trPr>
          <w:cantSplit w:val="true"/>
        </w:trPr>
        <w:tc>
          <w:tcPr>
            <w:tcW w:type="dxa" w:w="794"/>
          </w:tcPr>
          <w:p>
            <w:pPr>
              <w:spacing w:after="20"/>
            </w:pPr>
            <w:r/>
            <w:r>
              <w:rPr>
                <w:sz w:val="15"/>
              </w:rPr>
              <w:t>LAB-26</w:t>
            </w:r>
          </w:p>
        </w:tc>
        <w:tc>
          <w:tcPr>
            <w:tcW w:type="dxa" w:w="1928"/>
          </w:tcPr>
          <w:p>
            <w:pPr>
              <w:spacing w:after="20"/>
            </w:pPr>
            <w:r/>
            <w:r>
              <w:rPr>
                <w:sz w:val="15"/>
              </w:rPr>
              <w:t>No confirmar dos veces (datos CSV)</w:t>
            </w:r>
          </w:p>
        </w:tc>
        <w:tc>
          <w:tcPr>
            <w:tcW w:type="dxa" w:w="1757"/>
          </w:tcPr>
          <w:p>
            <w:pPr>
              <w:spacing w:after="20"/>
            </w:pPr>
            <w:r/>
            <w:r>
              <w:rPr>
                <w:sz w:val="15"/>
              </w:rPr>
              <w:t>CP08: total 250</w:t>
            </w:r>
          </w:p>
        </w:tc>
        <w:tc>
          <w:tcPr>
            <w:tcW w:type="dxa" w:w="2608"/>
          </w:tcPr>
          <w:p>
            <w:pPr>
              <w:spacing w:after="20"/>
            </w:pPr>
            <w:r/>
            <w:r>
              <w:rPr>
                <w:sz w:val="15"/>
              </w:rPr>
              <w:t>ValueError("already confirmed") (tras TDD; antes: CONFIRMED)</w:t>
            </w:r>
          </w:p>
        </w:tc>
        <w:tc>
          <w:tcPr>
            <w:tcW w:type="dxa" w:w="1077"/>
          </w:tcPr>
          <w:p>
            <w:pPr>
              <w:spacing w:after="20"/>
            </w:pPr>
            <w:r/>
            <w:r>
              <w:rPr>
                <w:sz w:val="15"/>
              </w:rPr>
              <w:t>Límite</w:t>
            </w:r>
          </w:p>
        </w:tc>
        <w:tc>
          <w:tcPr>
            <w:tcW w:type="dxa" w:w="964"/>
          </w:tcPr>
          <w:p>
            <w:pPr>
              <w:spacing w:after="20"/>
            </w:pPr>
            <w:r/>
            <w:r>
              <w:rPr>
                <w:sz w:val="15"/>
              </w:rPr>
              <w:t>PASSED</w:t>
            </w:r>
          </w:p>
        </w:tc>
        <w:tc>
          <w:tcPr>
            <w:tcW w:type="dxa" w:w="510"/>
          </w:tcPr>
          <w:p>
            <w:pPr>
              <w:spacing w:after="20"/>
            </w:pPr>
            <w:r/>
            <w:r>
              <w:rPr>
                <w:sz w:val="15"/>
              </w:rPr>
              <w:t>E3</w:t>
            </w:r>
          </w:p>
        </w:tc>
      </w:tr>
      <w:tr>
        <w:trPr>
          <w:cantSplit w:val="true"/>
        </w:trPr>
        <w:tc>
          <w:tcPr>
            <w:tcW w:type="dxa" w:w="794"/>
          </w:tcPr>
          <w:p>
            <w:pPr>
              <w:spacing w:after="20"/>
            </w:pPr>
            <w:r/>
            <w:r>
              <w:rPr>
                <w:sz w:val="15"/>
              </w:rPr>
              <w:t>LAB-27</w:t>
            </w:r>
          </w:p>
        </w:tc>
        <w:tc>
          <w:tcPr>
            <w:tcW w:type="dxa" w:w="1928"/>
          </w:tcPr>
          <w:p>
            <w:pPr>
              <w:spacing w:after="20"/>
            </w:pPr>
            <w:r/>
            <w:r>
              <w:rPr>
                <w:sz w:val="15"/>
              </w:rPr>
              <w:t>Riesgo: confirmar antes del pago</w:t>
            </w:r>
          </w:p>
        </w:tc>
        <w:tc>
          <w:tcPr>
            <w:tcW w:type="dxa" w:w="1757"/>
          </w:tcPr>
          <w:p>
            <w:pPr>
              <w:spacing w:after="20"/>
            </w:pPr>
            <w:r/>
            <w:r>
              <w:rPr>
                <w:sz w:val="15"/>
              </w:rPr>
              <w:t>total 200, VIP</w:t>
            </w:r>
          </w:p>
        </w:tc>
        <w:tc>
          <w:tcPr>
            <w:tcW w:type="dxa" w:w="2608"/>
          </w:tcPr>
          <w:p>
            <w:pPr>
              <w:spacing w:after="20"/>
            </w:pPr>
            <w:r/>
            <w:r>
              <w:rPr>
                <w:sz w:val="15"/>
              </w:rPr>
              <w:t>El pedido NO debería quedar CONFIRMED si el pago se rechaza</w:t>
            </w:r>
          </w:p>
        </w:tc>
        <w:tc>
          <w:tcPr>
            <w:tcW w:type="dxa" w:w="1077"/>
          </w:tcPr>
          <w:p>
            <w:pPr>
              <w:spacing w:after="20"/>
            </w:pPr>
            <w:r/>
            <w:r>
              <w:rPr>
                <w:sz w:val="15"/>
              </w:rPr>
              <w:t>Riesgo documentado</w:t>
            </w:r>
          </w:p>
        </w:tc>
        <w:tc>
          <w:tcPr>
            <w:tcW w:type="dxa" w:w="964"/>
          </w:tcPr>
          <w:p>
            <w:pPr>
              <w:spacing w:after="20"/>
            </w:pPr>
            <w:r/>
            <w:r>
              <w:rPr>
                <w:sz w:val="15"/>
              </w:rPr>
              <w:t>XFAIL</w:t>
            </w:r>
          </w:p>
        </w:tc>
        <w:tc>
          <w:tcPr>
            <w:tcW w:type="dxa" w:w="510"/>
          </w:tcPr>
          <w:p>
            <w:pPr>
              <w:spacing w:after="20"/>
            </w:pPr>
            <w:r/>
            <w:r>
              <w:rPr>
                <w:sz w:val="15"/>
              </w:rPr>
              <w:t>E5</w:t>
            </w:r>
          </w:p>
        </w:tc>
      </w:tr>
    </w:tbl>
    <w:p>
      <w:pPr>
        <w:spacing w:before="0" w:after="40" w:line="276" w:lineRule="auto"/>
        <w:jc w:val="both"/>
      </w:pPr>
    </w:p>
    <w:p>
      <w:pPr>
        <w:pStyle w:val="Ttulo2"/>
        <w:keepNext/>
      </w:pPr>
      <w:r>
        <w:t>Anexo B. Matriz completa de Eventos Nova</w:t>
      </w:r>
    </w:p>
    <w:p>
      <w:pPr>
        <w:keepNext/>
        <w:spacing w:before="160" w:after="60" w:line="276" w:lineRule="auto"/>
        <w:jc w:val="center"/>
      </w:pPr>
      <w:r>
        <w:rPr>
          <w:b/>
          <w:sz w:val="19"/>
        </w:rPr>
        <w:t xml:space="preserve">Tabla 11. </w:t>
      </w:r>
      <w:r>
        <w:rPr>
          <w:sz w:val="19"/>
        </w:rPr>
        <w:t>Matriz de pruebas del PIA Eventos Nova (22 casos)</w:t>
      </w:r>
    </w:p>
    <w:tbl>
      <w:tblPr>
        <w:tblStyle w:val="Tabladecuadrcula4-nfasis11"/>
        <w:tblW w:type="dxa" w:w="9865"/>
        <w:jc w:val="center"/>
        <w:tblLayout w:type="fixed"/>
        <w:tblLook w:firstColumn="1" w:firstRow="1" w:lastColumn="0" w:lastRow="0" w:noHBand="0" w:noVBand="1" w:val="04A0"/>
        <w:tblLayout w:type="fixed"/>
      </w:tblPr>
      <w:tblGrid>
        <w:gridCol w:w="737"/>
        <w:gridCol w:w="1020"/>
        <w:gridCol w:w="1417"/>
        <w:gridCol w:w="1474"/>
        <w:gridCol w:w="1190"/>
        <w:gridCol w:w="2211"/>
        <w:gridCol w:w="907"/>
        <w:gridCol w:w="907"/>
      </w:tblGrid>
      <w:tr>
        <w:trPr>
          <w:tblHeader w:val="true"/>
          <w:cantSplit w:val="true"/>
        </w:trPr>
        <w:tc>
          <w:tcPr>
            <w:tcW w:type="dxa" w:w="737"/>
          </w:tcPr>
          <w:p>
            <w:pPr>
              <w:jc w:val="center"/>
            </w:pPr>
            <w:r/>
            <w:r>
              <w:rPr>
                <w:b/>
                <w:sz w:val="14"/>
              </w:rPr>
              <w:t>ID</w:t>
            </w:r>
          </w:p>
        </w:tc>
        <w:tc>
          <w:tcPr>
            <w:tcW w:type="dxa" w:w="1020"/>
          </w:tcPr>
          <w:p>
            <w:pPr>
              <w:jc w:val="center"/>
            </w:pPr>
            <w:r/>
            <w:r>
              <w:rPr>
                <w:b/>
                <w:sz w:val="14"/>
              </w:rPr>
              <w:t>Regla</w:t>
            </w:r>
          </w:p>
        </w:tc>
        <w:tc>
          <w:tcPr>
            <w:tcW w:type="dxa" w:w="1417"/>
          </w:tcPr>
          <w:p>
            <w:pPr>
              <w:jc w:val="center"/>
            </w:pPr>
            <w:r/>
            <w:r>
              <w:rPr>
                <w:b/>
                <w:sz w:val="14"/>
              </w:rPr>
              <w:t>Origen</w:t>
            </w:r>
          </w:p>
        </w:tc>
        <w:tc>
          <w:tcPr>
            <w:tcW w:type="dxa" w:w="1474"/>
          </w:tcPr>
          <w:p>
            <w:pPr>
              <w:jc w:val="center"/>
            </w:pPr>
            <w:r/>
            <w:r>
              <w:rPr>
                <w:b/>
                <w:sz w:val="14"/>
              </w:rPr>
              <w:t>Entrada</w:t>
            </w:r>
          </w:p>
        </w:tc>
        <w:tc>
          <w:tcPr>
            <w:tcW w:type="dxa" w:w="1191"/>
          </w:tcPr>
          <w:p>
            <w:pPr>
              <w:jc w:val="center"/>
            </w:pPr>
            <w:r/>
            <w:r>
              <w:rPr>
                <w:b/>
                <w:sz w:val="14"/>
              </w:rPr>
              <w:t>Rol</w:t>
            </w:r>
          </w:p>
        </w:tc>
        <w:tc>
          <w:tcPr>
            <w:tcW w:type="dxa" w:w="2211"/>
          </w:tcPr>
          <w:p>
            <w:pPr>
              <w:jc w:val="center"/>
            </w:pPr>
            <w:r/>
            <w:r>
              <w:rPr>
                <w:b/>
                <w:sz w:val="14"/>
              </w:rPr>
              <w:t>Esperado</w:t>
            </w:r>
          </w:p>
        </w:tc>
        <w:tc>
          <w:tcPr>
            <w:tcW w:type="dxa" w:w="907"/>
          </w:tcPr>
          <w:p>
            <w:pPr>
              <w:jc w:val="center"/>
            </w:pPr>
            <w:r/>
            <w:r>
              <w:rPr>
                <w:b/>
                <w:sz w:val="14"/>
              </w:rPr>
              <w:t>Categoría</w:t>
            </w:r>
          </w:p>
        </w:tc>
        <w:tc>
          <w:tcPr>
            <w:tcW w:type="dxa" w:w="907"/>
          </w:tcPr>
          <w:p>
            <w:pPr>
              <w:jc w:val="center"/>
            </w:pPr>
            <w:r/>
            <w:r>
              <w:rPr>
                <w:b/>
                <w:sz w:val="14"/>
              </w:rPr>
              <w:t>Estado</w:t>
            </w:r>
          </w:p>
        </w:tc>
      </w:tr>
      <w:tr>
        <w:trPr>
          <w:cantSplit w:val="true"/>
        </w:trPr>
        <w:tc>
          <w:tcPr>
            <w:tcW w:type="dxa" w:w="737"/>
          </w:tcPr>
          <w:p>
            <w:pPr>
              <w:spacing w:after="20"/>
            </w:pPr>
            <w:r/>
            <w:r>
              <w:rPr>
                <w:sz w:val="14"/>
              </w:rPr>
              <w:t>PIA-01</w:t>
            </w:r>
          </w:p>
        </w:tc>
        <w:tc>
          <w:tcPr>
            <w:tcW w:type="dxa" w:w="1020"/>
          </w:tcPr>
          <w:p>
            <w:pPr>
              <w:spacing w:after="20"/>
            </w:pPr>
            <w:r/>
            <w:r>
              <w:rPr>
                <w:sz w:val="14"/>
              </w:rPr>
              <w:t>R1 Servicio adicional</w:t>
            </w:r>
          </w:p>
        </w:tc>
        <w:tc>
          <w:tcPr>
            <w:tcW w:type="dxa" w:w="1417"/>
          </w:tcPr>
          <w:p>
            <w:pPr>
              <w:spacing w:after="20"/>
            </w:pPr>
            <w:r/>
            <w:r>
              <w:rPr>
                <w:sz w:val="14"/>
              </w:rPr>
              <w:t>BN-004, SE-004, GL-015; US-025; CA-073, CA-075</w:t>
            </w:r>
          </w:p>
        </w:tc>
        <w:tc>
          <w:tcPr>
            <w:tcW w:type="dxa" w:w="1474"/>
          </w:tcPr>
          <w:p>
            <w:pPr>
              <w:spacing w:after="20"/>
            </w:pPr>
            <w:r/>
            <w:r>
              <w:rPr>
                <w:sz w:val="14"/>
              </w:rPr>
              <w:t>Solicitud el 10/11/2026 09:00 (10 días)</w:t>
            </w:r>
          </w:p>
        </w:tc>
        <w:tc>
          <w:tcPr>
            <w:tcW w:type="dxa" w:w="1191"/>
          </w:tcPr>
          <w:p>
            <w:pPr>
              <w:spacing w:after="20"/>
            </w:pPr>
            <w:r/>
            <w:r>
              <w:rPr>
                <w:sz w:val="14"/>
              </w:rPr>
              <w:t>Coordinador</w:t>
            </w:r>
          </w:p>
        </w:tc>
        <w:tc>
          <w:tcPr>
            <w:tcW w:type="dxa" w:w="2211"/>
          </w:tcPr>
          <w:p>
            <w:pPr>
              <w:spacing w:after="20"/>
            </w:pPr>
            <w:r/>
            <w:r>
              <w:rPr>
                <w:sz w:val="14"/>
              </w:rPr>
              <w:t>Registrada sin motivo; consulta a proveedores; Pendiente de aprobación del Cliente; importe = costo del proveedor (1 500.00), sin cargo propio</w:t>
            </w:r>
          </w:p>
        </w:tc>
        <w:tc>
          <w:tcPr>
            <w:tcW w:type="dxa" w:w="907"/>
          </w:tcPr>
          <w:p>
            <w:pPr>
              <w:spacing w:after="20"/>
            </w:pPr>
            <w:r/>
            <w:r>
              <w:rPr>
                <w:sz w:val="14"/>
              </w:rPr>
              <w:t>Éxito</w:t>
            </w:r>
          </w:p>
        </w:tc>
        <w:tc>
          <w:tcPr>
            <w:tcW w:type="dxa" w:w="907"/>
          </w:tcPr>
          <w:p>
            <w:pPr>
              <w:spacing w:after="20"/>
            </w:pPr>
            <w:r/>
            <w:r>
              <w:rPr>
                <w:sz w:val="14"/>
              </w:rPr>
              <w:t>PASSED</w:t>
            </w:r>
          </w:p>
        </w:tc>
      </w:tr>
      <w:tr>
        <w:trPr>
          <w:cantSplit w:val="true"/>
        </w:trPr>
        <w:tc>
          <w:tcPr>
            <w:tcW w:type="dxa" w:w="737"/>
          </w:tcPr>
          <w:p>
            <w:pPr>
              <w:spacing w:after="20"/>
            </w:pPr>
            <w:r/>
            <w:r>
              <w:rPr>
                <w:sz w:val="14"/>
              </w:rPr>
              <w:t>PIA-02</w:t>
            </w:r>
          </w:p>
        </w:tc>
        <w:tc>
          <w:tcPr>
            <w:tcW w:type="dxa" w:w="1020"/>
          </w:tcPr>
          <w:p>
            <w:pPr>
              <w:spacing w:after="20"/>
            </w:pPr>
            <w:r/>
            <w:r>
              <w:rPr>
                <w:sz w:val="14"/>
              </w:rPr>
              <w:t>R1 Servicio adicional</w:t>
            </w:r>
          </w:p>
        </w:tc>
        <w:tc>
          <w:tcPr>
            <w:tcW w:type="dxa" w:w="1417"/>
          </w:tcPr>
          <w:p>
            <w:pPr>
              <w:spacing w:after="20"/>
            </w:pPr>
            <w:r/>
            <w:r>
              <w:rPr>
                <w:sz w:val="14"/>
              </w:rPr>
              <w:t>BN-004, SE-004, GL-015; US-025; CA-083</w:t>
            </w:r>
          </w:p>
        </w:tc>
        <w:tc>
          <w:tcPr>
            <w:tcW w:type="dxa" w:w="1474"/>
          </w:tcPr>
          <w:p>
            <w:pPr>
              <w:spacing w:after="20"/>
            </w:pPr>
            <w:r/>
            <w:r>
              <w:rPr>
                <w:sz w:val="14"/>
              </w:rPr>
              <w:t>Solicitud el 15/11/2026 23:59 (5 días naturales por fecha)</w:t>
            </w:r>
          </w:p>
        </w:tc>
        <w:tc>
          <w:tcPr>
            <w:tcW w:type="dxa" w:w="1191"/>
          </w:tcPr>
          <w:p>
            <w:pPr>
              <w:spacing w:after="20"/>
            </w:pPr>
            <w:r/>
            <w:r>
              <w:rPr>
                <w:sz w:val="14"/>
              </w:rPr>
              <w:t>Coordinador</w:t>
            </w:r>
          </w:p>
        </w:tc>
        <w:tc>
          <w:tcPr>
            <w:tcW w:type="dxa" w:w="2211"/>
          </w:tcPr>
          <w:p>
            <w:pPr>
              <w:spacing w:after="20"/>
            </w:pPr>
            <w:r/>
            <w:r>
              <w:rPr>
                <w:sz w:val="14"/>
              </w:rPr>
              <w:t>Procede (Registrada)</w:t>
            </w:r>
          </w:p>
        </w:tc>
        <w:tc>
          <w:tcPr>
            <w:tcW w:type="dxa" w:w="907"/>
          </w:tcPr>
          <w:p>
            <w:pPr>
              <w:spacing w:after="20"/>
            </w:pPr>
            <w:r/>
            <w:r>
              <w:rPr>
                <w:sz w:val="14"/>
              </w:rPr>
              <w:t>Límite</w:t>
            </w:r>
          </w:p>
        </w:tc>
        <w:tc>
          <w:tcPr>
            <w:tcW w:type="dxa" w:w="907"/>
          </w:tcPr>
          <w:p>
            <w:pPr>
              <w:spacing w:after="20"/>
            </w:pPr>
            <w:r/>
            <w:r>
              <w:rPr>
                <w:sz w:val="14"/>
              </w:rPr>
              <w:t>PASSED</w:t>
            </w:r>
          </w:p>
        </w:tc>
      </w:tr>
      <w:tr>
        <w:trPr>
          <w:cantSplit w:val="true"/>
        </w:trPr>
        <w:tc>
          <w:tcPr>
            <w:tcW w:type="dxa" w:w="737"/>
          </w:tcPr>
          <w:p>
            <w:pPr>
              <w:spacing w:after="20"/>
            </w:pPr>
            <w:r/>
            <w:r>
              <w:rPr>
                <w:sz w:val="14"/>
              </w:rPr>
              <w:t>PIA-03</w:t>
            </w:r>
          </w:p>
        </w:tc>
        <w:tc>
          <w:tcPr>
            <w:tcW w:type="dxa" w:w="1020"/>
          </w:tcPr>
          <w:p>
            <w:pPr>
              <w:spacing w:after="20"/>
            </w:pPr>
            <w:r/>
            <w:r>
              <w:rPr>
                <w:sz w:val="14"/>
              </w:rPr>
              <w:t>R1 Servicio adicional</w:t>
            </w:r>
          </w:p>
        </w:tc>
        <w:tc>
          <w:tcPr>
            <w:tcW w:type="dxa" w:w="1417"/>
          </w:tcPr>
          <w:p>
            <w:pPr>
              <w:spacing w:after="20"/>
            </w:pPr>
            <w:r/>
            <w:r>
              <w:rPr>
                <w:sz w:val="14"/>
              </w:rPr>
              <w:t>BN-004, SE-004, GL-015; US-025; CA-083</w:t>
            </w:r>
          </w:p>
        </w:tc>
        <w:tc>
          <w:tcPr>
            <w:tcW w:type="dxa" w:w="1474"/>
          </w:tcPr>
          <w:p>
            <w:pPr>
              <w:spacing w:after="20"/>
            </w:pPr>
            <w:r/>
            <w:r>
              <w:rPr>
                <w:sz w:val="14"/>
              </w:rPr>
              <w:t>Solicitud el 16/11/2026 00:00 (4 días)</w:t>
            </w:r>
          </w:p>
        </w:tc>
        <w:tc>
          <w:tcPr>
            <w:tcW w:type="dxa" w:w="1191"/>
          </w:tcPr>
          <w:p>
            <w:pPr>
              <w:spacing w:after="20"/>
            </w:pPr>
            <w:r/>
            <w:r>
              <w:rPr>
                <w:sz w:val="14"/>
              </w:rPr>
              <w:t>Coordinador</w:t>
            </w:r>
          </w:p>
        </w:tc>
        <w:tc>
          <w:tcPr>
            <w:tcW w:type="dxa" w:w="2211"/>
          </w:tcPr>
          <w:p>
            <w:pPr>
              <w:spacing w:after="20"/>
            </w:pPr>
            <w:r/>
            <w:r>
              <w:rPr>
                <w:sz w:val="14"/>
              </w:rPr>
              <w:t>No procedente por plazo insuficiente; no se consultan proveedores</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PIA-03b</w:t>
            </w:r>
          </w:p>
        </w:tc>
        <w:tc>
          <w:tcPr>
            <w:tcW w:type="dxa" w:w="1020"/>
          </w:tcPr>
          <w:p>
            <w:pPr>
              <w:spacing w:after="20"/>
            </w:pPr>
            <w:r/>
            <w:r>
              <w:rPr>
                <w:sz w:val="14"/>
              </w:rPr>
              <w:t>R1 Servicio adicional</w:t>
            </w:r>
          </w:p>
        </w:tc>
        <w:tc>
          <w:tcPr>
            <w:tcW w:type="dxa" w:w="1417"/>
          </w:tcPr>
          <w:p>
            <w:pPr>
              <w:spacing w:after="20"/>
            </w:pPr>
            <w:r/>
            <w:r>
              <w:rPr>
                <w:sz w:val="14"/>
              </w:rPr>
              <w:t>BN-004, SE-004; US-025; CA-083</w:t>
            </w:r>
          </w:p>
        </w:tc>
        <w:tc>
          <w:tcPr>
            <w:tcW w:type="dxa" w:w="1474"/>
          </w:tcPr>
          <w:p>
            <w:pPr>
              <w:spacing w:after="20"/>
            </w:pPr>
            <w:r/>
            <w:r>
              <w:rPr>
                <w:sz w:val="14"/>
              </w:rPr>
              <w:t>Reintento de evaluar disponibilidad</w:t>
            </w:r>
          </w:p>
        </w:tc>
        <w:tc>
          <w:tcPr>
            <w:tcW w:type="dxa" w:w="1191"/>
          </w:tcPr>
          <w:p>
            <w:pPr>
              <w:spacing w:after="20"/>
            </w:pPr>
            <w:r/>
            <w:r>
              <w:rPr>
                <w:sz w:val="14"/>
              </w:rPr>
              <w:t>Coordinador</w:t>
            </w:r>
          </w:p>
        </w:tc>
        <w:tc>
          <w:tcPr>
            <w:tcW w:type="dxa" w:w="2211"/>
          </w:tcPr>
          <w:p>
            <w:pPr>
              <w:spacing w:after="20"/>
            </w:pPr>
            <w:r/>
            <w:r>
              <w:rPr>
                <w:sz w:val="14"/>
              </w:rPr>
              <w:t>Se rechaza con el mismo mensaje de antes y NO se consulta a proveedores (hallazgo U5-H1, corregido el 28/10/2026)</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PIA-04</w:t>
            </w:r>
          </w:p>
        </w:tc>
        <w:tc>
          <w:tcPr>
            <w:tcW w:type="dxa" w:w="1020"/>
          </w:tcPr>
          <w:p>
            <w:pPr>
              <w:spacing w:after="20"/>
            </w:pPr>
            <w:r/>
            <w:r>
              <w:rPr>
                <w:sz w:val="14"/>
              </w:rPr>
              <w:t>R1 Servicio adicional</w:t>
            </w:r>
          </w:p>
        </w:tc>
        <w:tc>
          <w:tcPr>
            <w:tcW w:type="dxa" w:w="1417"/>
          </w:tcPr>
          <w:p>
            <w:pPr>
              <w:spacing w:after="20"/>
            </w:pPr>
            <w:r/>
            <w:r>
              <w:rPr>
                <w:sz w:val="14"/>
              </w:rPr>
              <w:t>BN-004, SE-004, GL-015; US-025; CA-083</w:t>
            </w:r>
          </w:p>
        </w:tc>
        <w:tc>
          <w:tcPr>
            <w:tcW w:type="dxa" w:w="1474"/>
          </w:tcPr>
          <w:p>
            <w:pPr>
              <w:spacing w:after="20"/>
            </w:pPr>
            <w:r/>
            <w:r>
              <w:rPr>
                <w:sz w:val="14"/>
              </w:rPr>
              <w:t>Solicitud el 17/11/2026 (3 días)</w:t>
            </w:r>
          </w:p>
        </w:tc>
        <w:tc>
          <w:tcPr>
            <w:tcW w:type="dxa" w:w="1191"/>
          </w:tcPr>
          <w:p>
            <w:pPr>
              <w:spacing w:after="20"/>
            </w:pPr>
            <w:r/>
            <w:r>
              <w:rPr>
                <w:sz w:val="14"/>
              </w:rPr>
              <w:t>Coordinador</w:t>
            </w:r>
          </w:p>
        </w:tc>
        <w:tc>
          <w:tcPr>
            <w:tcW w:type="dxa" w:w="2211"/>
          </w:tcPr>
          <w:p>
            <w:pPr>
              <w:spacing w:after="20"/>
            </w:pPr>
            <w:r/>
            <w:r>
              <w:rPr>
                <w:sz w:val="14"/>
              </w:rPr>
              <w:t>No procedente con el primer motivo: evento cancelado (no el de plazo)</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PIA-05</w:t>
            </w:r>
          </w:p>
        </w:tc>
        <w:tc>
          <w:tcPr>
            <w:tcW w:type="dxa" w:w="1020"/>
          </w:tcPr>
          <w:p>
            <w:pPr>
              <w:spacing w:after="20"/>
            </w:pPr>
            <w:r/>
            <w:r>
              <w:rPr>
                <w:sz w:val="14"/>
              </w:rPr>
              <w:t>R2 Anticipo</w:t>
            </w:r>
          </w:p>
        </w:tc>
        <w:tc>
          <w:tcPr>
            <w:tcW w:type="dxa" w:w="1417"/>
          </w:tcPr>
          <w:p>
            <w:pPr>
              <w:spacing w:after="20"/>
            </w:pPr>
            <w:r/>
            <w:r>
              <w:rPr>
                <w:sz w:val="14"/>
              </w:rPr>
              <w:t>BN-009, SE-010; decisión B; US-009; CA-019</w:t>
            </w:r>
          </w:p>
        </w:tc>
        <w:tc>
          <w:tcPr>
            <w:tcW w:type="dxa" w:w="1474"/>
          </w:tcPr>
          <w:p>
            <w:pPr>
              <w:spacing w:after="20"/>
            </w:pPr>
            <w:r/>
            <w:r>
              <w:rPr>
                <w:sz w:val="14"/>
              </w:rPr>
              <w:t>Anticipo 3 000.00 (30 % de 10 000.00)</w:t>
            </w:r>
          </w:p>
        </w:tc>
        <w:tc>
          <w:tcPr>
            <w:tcW w:type="dxa" w:w="1191"/>
          </w:tcPr>
          <w:p>
            <w:pPr>
              <w:spacing w:after="20"/>
            </w:pPr>
            <w:r/>
            <w:r>
              <w:rPr>
                <w:sz w:val="14"/>
              </w:rPr>
              <w:t>Administración</w:t>
            </w:r>
          </w:p>
        </w:tc>
        <w:tc>
          <w:tcPr>
            <w:tcW w:type="dxa" w:w="2211"/>
          </w:tcPr>
          <w:p>
            <w:pPr>
              <w:spacing w:after="20"/>
            </w:pPr>
            <w:r/>
            <w:r>
              <w:rPr>
                <w:sz w:val="14"/>
              </w:rPr>
              <w:t>Pago Verificado; anticipo Liquidado; contratación confirmada; evento En organización</w:t>
            </w:r>
          </w:p>
        </w:tc>
        <w:tc>
          <w:tcPr>
            <w:tcW w:type="dxa" w:w="907"/>
          </w:tcPr>
          <w:p>
            <w:pPr>
              <w:spacing w:after="20"/>
            </w:pPr>
            <w:r/>
            <w:r>
              <w:rPr>
                <w:sz w:val="14"/>
              </w:rPr>
              <w:t>Éxito</w:t>
            </w:r>
          </w:p>
        </w:tc>
        <w:tc>
          <w:tcPr>
            <w:tcW w:type="dxa" w:w="907"/>
          </w:tcPr>
          <w:p>
            <w:pPr>
              <w:spacing w:after="20"/>
            </w:pPr>
            <w:r/>
            <w:r>
              <w:rPr>
                <w:sz w:val="14"/>
              </w:rPr>
              <w:t>PASSED</w:t>
            </w:r>
          </w:p>
        </w:tc>
      </w:tr>
      <w:tr>
        <w:trPr>
          <w:cantSplit w:val="true"/>
        </w:trPr>
        <w:tc>
          <w:tcPr>
            <w:tcW w:type="dxa" w:w="737"/>
          </w:tcPr>
          <w:p>
            <w:pPr>
              <w:spacing w:after="20"/>
            </w:pPr>
            <w:r/>
            <w:r>
              <w:rPr>
                <w:sz w:val="14"/>
              </w:rPr>
              <w:t>PIA-06</w:t>
            </w:r>
          </w:p>
        </w:tc>
        <w:tc>
          <w:tcPr>
            <w:tcW w:type="dxa" w:w="1020"/>
          </w:tcPr>
          <w:p>
            <w:pPr>
              <w:spacing w:after="20"/>
            </w:pPr>
            <w:r/>
            <w:r>
              <w:rPr>
                <w:sz w:val="14"/>
              </w:rPr>
              <w:t>R2 Anticipo</w:t>
            </w:r>
          </w:p>
        </w:tc>
        <w:tc>
          <w:tcPr>
            <w:tcW w:type="dxa" w:w="1417"/>
          </w:tcPr>
          <w:p>
            <w:pPr>
              <w:spacing w:after="20"/>
            </w:pPr>
            <w:r/>
            <w:r>
              <w:rPr>
                <w:sz w:val="14"/>
              </w:rPr>
              <w:t>BN-009; decisión B; US-009; CA-019</w:t>
            </w:r>
          </w:p>
        </w:tc>
        <w:tc>
          <w:tcPr>
            <w:tcW w:type="dxa" w:w="1474"/>
          </w:tcPr>
          <w:p>
            <w:pPr>
              <w:spacing w:after="20"/>
            </w:pPr>
            <w:r/>
            <w:r>
              <w:rPr>
                <w:sz w:val="14"/>
              </w:rPr>
              <w:t>Anticipo 2 999.99 y después 0.01</w:t>
            </w:r>
          </w:p>
        </w:tc>
        <w:tc>
          <w:tcPr>
            <w:tcW w:type="dxa" w:w="1191"/>
          </w:tcPr>
          <w:p>
            <w:pPr>
              <w:spacing w:after="20"/>
            </w:pPr>
            <w:r/>
            <w:r>
              <w:rPr>
                <w:sz w:val="14"/>
              </w:rPr>
              <w:t>Administración</w:t>
            </w:r>
          </w:p>
        </w:tc>
        <w:tc>
          <w:tcPr>
            <w:tcW w:type="dxa" w:w="2211"/>
          </w:tcPr>
          <w:p>
            <w:pPr>
              <w:spacing w:after="20"/>
            </w:pPr>
            <w:r/>
            <w:r>
              <w:rPr>
                <w:sz w:val="14"/>
              </w:rPr>
              <w:t>Con 2 999.99 el anticipo sigue Pendiente y no se confirma; con el complemento se liquida y se confirma</w:t>
            </w:r>
          </w:p>
        </w:tc>
        <w:tc>
          <w:tcPr>
            <w:tcW w:type="dxa" w:w="907"/>
          </w:tcPr>
          <w:p>
            <w:pPr>
              <w:spacing w:after="20"/>
            </w:pPr>
            <w:r/>
            <w:r>
              <w:rPr>
                <w:sz w:val="14"/>
              </w:rPr>
              <w:t>Límite</w:t>
            </w:r>
          </w:p>
        </w:tc>
        <w:tc>
          <w:tcPr>
            <w:tcW w:type="dxa" w:w="907"/>
          </w:tcPr>
          <w:p>
            <w:pPr>
              <w:spacing w:after="20"/>
            </w:pPr>
            <w:r/>
            <w:r>
              <w:rPr>
                <w:sz w:val="14"/>
              </w:rPr>
              <w:t>PASSED</w:t>
            </w:r>
          </w:p>
        </w:tc>
      </w:tr>
      <w:tr>
        <w:trPr>
          <w:cantSplit w:val="true"/>
        </w:trPr>
        <w:tc>
          <w:tcPr>
            <w:tcW w:type="dxa" w:w="737"/>
          </w:tcPr>
          <w:p>
            <w:pPr>
              <w:spacing w:after="20"/>
            </w:pPr>
            <w:r/>
            <w:r>
              <w:rPr>
                <w:sz w:val="14"/>
              </w:rPr>
              <w:t>PIA-07</w:t>
            </w:r>
          </w:p>
        </w:tc>
        <w:tc>
          <w:tcPr>
            <w:tcW w:type="dxa" w:w="1020"/>
          </w:tcPr>
          <w:p>
            <w:pPr>
              <w:spacing w:after="20"/>
            </w:pPr>
            <w:r/>
            <w:r>
              <w:rPr>
                <w:sz w:val="14"/>
              </w:rPr>
              <w:t>R2 Anticipo</w:t>
            </w:r>
          </w:p>
        </w:tc>
        <w:tc>
          <w:tcPr>
            <w:tcW w:type="dxa" w:w="1417"/>
          </w:tcPr>
          <w:p>
            <w:pPr>
              <w:spacing w:after="20"/>
            </w:pPr>
            <w:r/>
            <w:r>
              <w:rPr>
                <w:sz w:val="14"/>
              </w:rPr>
              <w:t>BN-009; decisión B (B-2, B-3, B-4); US-009; CA-019</w:t>
            </w:r>
          </w:p>
        </w:tc>
        <w:tc>
          <w:tcPr>
            <w:tcW w:type="dxa" w:w="1474"/>
          </w:tcPr>
          <w:p>
            <w:pPr>
              <w:spacing w:after="20"/>
            </w:pPr>
            <w:r/>
            <w:r>
              <w:rPr>
                <w:sz w:val="14"/>
              </w:rPr>
              <w:t>Anticipo 4 000.00 (40 %)</w:t>
            </w:r>
          </w:p>
        </w:tc>
        <w:tc>
          <w:tcPr>
            <w:tcW w:type="dxa" w:w="1191"/>
          </w:tcPr>
          <w:p>
            <w:pPr>
              <w:spacing w:after="20"/>
            </w:pPr>
            <w:r/>
            <w:r>
              <w:rPr>
                <w:sz w:val="14"/>
              </w:rPr>
              <w:t>Administración</w:t>
            </w:r>
          </w:p>
        </w:tc>
        <w:tc>
          <w:tcPr>
            <w:tcW w:type="dxa" w:w="2211"/>
          </w:tcPr>
          <w:p>
            <w:pPr>
              <w:spacing w:after="20"/>
            </w:pPr>
            <w:r/>
            <w:r>
              <w:rPr>
                <w:sz w:val="14"/>
              </w:rPr>
              <w:t>Requisito cubierto; sin devolución; saldo del contrato sigue en 7 000.00</w:t>
            </w:r>
          </w:p>
        </w:tc>
        <w:tc>
          <w:tcPr>
            <w:tcW w:type="dxa" w:w="907"/>
          </w:tcPr>
          <w:p>
            <w:pPr>
              <w:spacing w:after="20"/>
            </w:pPr>
            <w:r/>
            <w:r>
              <w:rPr>
                <w:sz w:val="14"/>
              </w:rPr>
              <w:t>Éxito</w:t>
            </w:r>
          </w:p>
        </w:tc>
        <w:tc>
          <w:tcPr>
            <w:tcW w:type="dxa" w:w="907"/>
          </w:tcPr>
          <w:p>
            <w:pPr>
              <w:spacing w:after="20"/>
            </w:pPr>
            <w:r/>
            <w:r>
              <w:rPr>
                <w:sz w:val="14"/>
              </w:rPr>
              <w:t>PASSED</w:t>
            </w:r>
          </w:p>
        </w:tc>
      </w:tr>
      <w:tr>
        <w:trPr>
          <w:cantSplit w:val="true"/>
        </w:trPr>
        <w:tc>
          <w:tcPr>
            <w:tcW w:type="dxa" w:w="737"/>
          </w:tcPr>
          <w:p>
            <w:pPr>
              <w:spacing w:after="20"/>
            </w:pPr>
            <w:r/>
            <w:r>
              <w:rPr>
                <w:sz w:val="14"/>
              </w:rPr>
              <w:t>PIA-08</w:t>
            </w:r>
          </w:p>
        </w:tc>
        <w:tc>
          <w:tcPr>
            <w:tcW w:type="dxa" w:w="1020"/>
          </w:tcPr>
          <w:p>
            <w:pPr>
              <w:spacing w:after="20"/>
            </w:pPr>
            <w:r/>
            <w:r>
              <w:rPr>
                <w:sz w:val="14"/>
              </w:rPr>
              <w:t>R2 Anticipo</w:t>
            </w:r>
          </w:p>
        </w:tc>
        <w:tc>
          <w:tcPr>
            <w:tcW w:type="dxa" w:w="1417"/>
          </w:tcPr>
          <w:p>
            <w:pPr>
              <w:spacing w:after="20"/>
            </w:pPr>
            <w:r/>
            <w:r>
              <w:rPr>
                <w:sz w:val="14"/>
              </w:rPr>
              <w:t>BN-009, SE-010, GL-060; US-010; CA-020</w:t>
            </w:r>
          </w:p>
        </w:tc>
        <w:tc>
          <w:tcPr>
            <w:tcW w:type="dxa" w:w="1474"/>
          </w:tcPr>
          <w:p>
            <w:pPr>
              <w:spacing w:after="20"/>
            </w:pPr>
            <w:r/>
            <w:r>
              <w:rPr>
                <w:sz w:val="14"/>
              </w:rPr>
              <w:t>Seguimiento el 06/10 23:59:59 y el 07/10 00:00</w:t>
            </w:r>
          </w:p>
        </w:tc>
        <w:tc>
          <w:tcPr>
            <w:tcW w:type="dxa" w:w="1191"/>
          </w:tcPr>
          <w:p>
            <w:pPr>
              <w:spacing w:after="20"/>
            </w:pPr>
            <w:r/>
            <w:r>
              <w:rPr>
                <w:sz w:val="14"/>
              </w:rPr>
              <w:t>Coordinador</w:t>
            </w:r>
          </w:p>
        </w:tc>
        <w:tc>
          <w:tcPr>
            <w:tcW w:type="dxa" w:w="2211"/>
          </w:tcPr>
          <w:p>
            <w:pPr>
              <w:spacing w:after="20"/>
            </w:pPr>
            <w:r/>
            <w:r>
              <w:rPr>
                <w:sz w:val="14"/>
              </w:rPr>
              <w:t>Antes del límite exclusivo se rechaza; a las 00:00 del 07/10 se registra</w:t>
            </w:r>
          </w:p>
        </w:tc>
        <w:tc>
          <w:tcPr>
            <w:tcW w:type="dxa" w:w="907"/>
          </w:tcPr>
          <w:p>
            <w:pPr>
              <w:spacing w:after="20"/>
            </w:pPr>
            <w:r/>
            <w:r>
              <w:rPr>
                <w:sz w:val="14"/>
              </w:rPr>
              <w:t>Límite</w:t>
            </w:r>
          </w:p>
        </w:tc>
        <w:tc>
          <w:tcPr>
            <w:tcW w:type="dxa" w:w="907"/>
          </w:tcPr>
          <w:p>
            <w:pPr>
              <w:spacing w:after="20"/>
            </w:pPr>
            <w:r/>
            <w:r>
              <w:rPr>
                <w:sz w:val="14"/>
              </w:rPr>
              <w:t>PASSED</w:t>
            </w:r>
          </w:p>
        </w:tc>
      </w:tr>
      <w:tr>
        <w:trPr>
          <w:cantSplit w:val="true"/>
        </w:trPr>
        <w:tc>
          <w:tcPr>
            <w:tcW w:type="dxa" w:w="737"/>
          </w:tcPr>
          <w:p>
            <w:pPr>
              <w:spacing w:after="20"/>
            </w:pPr>
            <w:r/>
            <w:r>
              <w:rPr>
                <w:sz w:val="14"/>
              </w:rPr>
              <w:t>PIA-09</w:t>
            </w:r>
          </w:p>
        </w:tc>
        <w:tc>
          <w:tcPr>
            <w:tcW w:type="dxa" w:w="1020"/>
          </w:tcPr>
          <w:p>
            <w:pPr>
              <w:spacing w:after="20"/>
            </w:pPr>
            <w:r/>
            <w:r>
              <w:rPr>
                <w:sz w:val="14"/>
              </w:rPr>
              <w:t>R2 Anticipo</w:t>
            </w:r>
          </w:p>
        </w:tc>
        <w:tc>
          <w:tcPr>
            <w:tcW w:type="dxa" w:w="1417"/>
          </w:tcPr>
          <w:p>
            <w:pPr>
              <w:spacing w:after="20"/>
            </w:pPr>
            <w:r/>
            <w:r>
              <w:rPr>
                <w:sz w:val="14"/>
              </w:rPr>
              <w:t>BN-009, SE-010, GL-060; US-010; CA-021</w:t>
            </w:r>
          </w:p>
        </w:tc>
        <w:tc>
          <w:tcPr>
            <w:tcW w:type="dxa" w:w="1474"/>
          </w:tcPr>
          <w:p>
            <w:pPr>
              <w:spacing w:after="20"/>
            </w:pPr>
            <w:r/>
            <w:r>
              <w:rPr>
                <w:sz w:val="14"/>
              </w:rPr>
              <w:t>Cierre en contacto + 24 h y en + 24 h 1 s</w:t>
            </w:r>
          </w:p>
        </w:tc>
        <w:tc>
          <w:tcPr>
            <w:tcW w:type="dxa" w:w="1191"/>
          </w:tcPr>
          <w:p>
            <w:pPr>
              <w:spacing w:after="20"/>
            </w:pPr>
            <w:r/>
            <w:r>
              <w:rPr>
                <w:sz w:val="14"/>
              </w:rPr>
              <w:t>Coordinador</w:t>
            </w:r>
          </w:p>
        </w:tc>
        <w:tc>
          <w:tcPr>
            <w:tcW w:type="dxa" w:w="2211"/>
          </w:tcPr>
          <w:p>
            <w:pPr>
              <w:spacing w:after="20"/>
            </w:pPr>
            <w:r/>
            <w:r>
              <w:rPr>
                <w:sz w:val="14"/>
              </w:rPr>
              <w:t>En + 24 h exactas se rechaza (límite inclusivo); después: contrato Cerrado sin confirmar y evento Cerrado sin contratación (no Cancelado)</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PIA-10</w:t>
            </w:r>
          </w:p>
        </w:tc>
        <w:tc>
          <w:tcPr>
            <w:tcW w:type="dxa" w:w="1020"/>
          </w:tcPr>
          <w:p>
            <w:pPr>
              <w:spacing w:after="20"/>
            </w:pPr>
            <w:r/>
            <w:r>
              <w:rPr>
                <w:sz w:val="14"/>
              </w:rPr>
              <w:t>R3 Cambio tardío</w:t>
            </w:r>
          </w:p>
        </w:tc>
        <w:tc>
          <w:tcPr>
            <w:tcW w:type="dxa" w:w="1417"/>
          </w:tcPr>
          <w:p>
            <w:pPr>
              <w:spacing w:after="20"/>
            </w:pPr>
            <w:r/>
            <w:r>
              <w:rPr>
                <w:sz w:val="14"/>
              </w:rPr>
              <w:t>BN-003, SE-003, GL-020; US-024; CA-061, CA-063</w:t>
            </w:r>
          </w:p>
        </w:tc>
        <w:tc>
          <w:tcPr>
            <w:tcW w:type="dxa" w:w="1474"/>
          </w:tcPr>
          <w:p>
            <w:pPr>
              <w:spacing w:after="20"/>
            </w:pPr>
            <w:r/>
            <w:r>
              <w:rPr>
                <w:sz w:val="14"/>
              </w:rPr>
              <w:t>Cambio el 13/11/2026 18:00 (7 días); costo proveedor 800.00; tarifa ejemplo 500.00</w:t>
            </w:r>
          </w:p>
        </w:tc>
        <w:tc>
          <w:tcPr>
            <w:tcW w:type="dxa" w:w="1191"/>
          </w:tcPr>
          <w:p>
            <w:pPr>
              <w:spacing w:after="20"/>
            </w:pPr>
            <w:r/>
            <w:r>
              <w:rPr>
                <w:sz w:val="14"/>
              </w:rPr>
              <w:t>Coordinador / Cliente / Administración</w:t>
            </w:r>
          </w:p>
        </w:tc>
        <w:tc>
          <w:tcPr>
            <w:tcW w:type="dxa" w:w="2211"/>
          </w:tcPr>
          <w:p>
            <w:pPr>
              <w:spacing w:after="20"/>
            </w:pPr>
            <w:r/>
            <w:r>
              <w:rPr>
                <w:sz w:val="14"/>
              </w:rPr>
              <w:t>Sin cargo tardío; solo la obligación del costo del proveedor</w:t>
            </w:r>
          </w:p>
        </w:tc>
        <w:tc>
          <w:tcPr>
            <w:tcW w:type="dxa" w:w="907"/>
          </w:tcPr>
          <w:p>
            <w:pPr>
              <w:spacing w:after="20"/>
            </w:pPr>
            <w:r/>
            <w:r>
              <w:rPr>
                <w:sz w:val="14"/>
              </w:rPr>
              <w:t>Límite</w:t>
            </w:r>
          </w:p>
        </w:tc>
        <w:tc>
          <w:tcPr>
            <w:tcW w:type="dxa" w:w="907"/>
          </w:tcPr>
          <w:p>
            <w:pPr>
              <w:spacing w:after="20"/>
            </w:pPr>
            <w:r/>
            <w:r>
              <w:rPr>
                <w:sz w:val="14"/>
              </w:rPr>
              <w:t>PASSED</w:t>
            </w:r>
          </w:p>
        </w:tc>
      </w:tr>
      <w:tr>
        <w:trPr>
          <w:cantSplit w:val="true"/>
        </w:trPr>
        <w:tc>
          <w:tcPr>
            <w:tcW w:type="dxa" w:w="737"/>
          </w:tcPr>
          <w:p>
            <w:pPr>
              <w:spacing w:after="20"/>
            </w:pPr>
            <w:r/>
            <w:r>
              <w:rPr>
                <w:sz w:val="14"/>
              </w:rPr>
              <w:t>PIA-11</w:t>
            </w:r>
          </w:p>
        </w:tc>
        <w:tc>
          <w:tcPr>
            <w:tcW w:type="dxa" w:w="1020"/>
          </w:tcPr>
          <w:p>
            <w:pPr>
              <w:spacing w:after="20"/>
            </w:pPr>
            <w:r/>
            <w:r>
              <w:rPr>
                <w:sz w:val="14"/>
              </w:rPr>
              <w:t>R3 Cambio tardío</w:t>
            </w:r>
          </w:p>
        </w:tc>
        <w:tc>
          <w:tcPr>
            <w:tcW w:type="dxa" w:w="1417"/>
          </w:tcPr>
          <w:p>
            <w:pPr>
              <w:spacing w:after="20"/>
            </w:pPr>
            <w:r/>
            <w:r>
              <w:rPr>
                <w:sz w:val="14"/>
              </w:rPr>
              <w:t>BN-003, SE-005, GL-025; US-024; CA-062, CA-063</w:t>
            </w:r>
          </w:p>
        </w:tc>
        <w:tc>
          <w:tcPr>
            <w:tcW w:type="dxa" w:w="1474"/>
          </w:tcPr>
          <w:p>
            <w:pPr>
              <w:spacing w:after="20"/>
            </w:pPr>
            <w:r/>
            <w:r>
              <w:rPr>
                <w:sz w:val="14"/>
              </w:rPr>
              <w:t>Cambio el 14/11/2026 18:00 (6 días); costo 800.00; tarifa 500.00</w:t>
            </w:r>
          </w:p>
        </w:tc>
        <w:tc>
          <w:tcPr>
            <w:tcW w:type="dxa" w:w="1191"/>
          </w:tcPr>
          <w:p>
            <w:pPr>
              <w:spacing w:after="20"/>
            </w:pPr>
            <w:r/>
            <w:r>
              <w:rPr>
                <w:sz w:val="14"/>
              </w:rPr>
              <w:t>Coordinador / Cliente / Administración</w:t>
            </w:r>
          </w:p>
        </w:tc>
        <w:tc>
          <w:tcPr>
            <w:tcW w:type="dxa" w:w="2211"/>
          </w:tcPr>
          <w:p>
            <w:pPr>
              <w:spacing w:after="20"/>
            </w:pPr>
            <w:r/>
            <w:r>
              <w:rPr>
                <w:sz w:val="14"/>
              </w:rPr>
              <w:t>Dos obligaciones independientes: cargo por cambio tardío 500.00 y costo del proveedor 800.00</w:t>
            </w:r>
          </w:p>
        </w:tc>
        <w:tc>
          <w:tcPr>
            <w:tcW w:type="dxa" w:w="907"/>
          </w:tcPr>
          <w:p>
            <w:pPr>
              <w:spacing w:after="20"/>
            </w:pPr>
            <w:r/>
            <w:r>
              <w:rPr>
                <w:sz w:val="14"/>
              </w:rPr>
              <w:t>Éxito</w:t>
            </w:r>
          </w:p>
        </w:tc>
        <w:tc>
          <w:tcPr>
            <w:tcW w:type="dxa" w:w="907"/>
          </w:tcPr>
          <w:p>
            <w:pPr>
              <w:spacing w:after="20"/>
            </w:pPr>
            <w:r/>
            <w:r>
              <w:rPr>
                <w:sz w:val="14"/>
              </w:rPr>
              <w:t>PASSED</w:t>
            </w:r>
          </w:p>
        </w:tc>
      </w:tr>
      <w:tr>
        <w:trPr>
          <w:cantSplit w:val="true"/>
        </w:trPr>
        <w:tc>
          <w:tcPr>
            <w:tcW w:type="dxa" w:w="737"/>
          </w:tcPr>
          <w:p>
            <w:pPr>
              <w:spacing w:after="20"/>
            </w:pPr>
            <w:r/>
            <w:r>
              <w:rPr>
                <w:sz w:val="14"/>
              </w:rPr>
              <w:t>PIA-12</w:t>
            </w:r>
          </w:p>
        </w:tc>
        <w:tc>
          <w:tcPr>
            <w:tcW w:type="dxa" w:w="1020"/>
          </w:tcPr>
          <w:p>
            <w:pPr>
              <w:spacing w:after="20"/>
            </w:pPr>
            <w:r/>
            <w:r>
              <w:rPr>
                <w:sz w:val="14"/>
              </w:rPr>
              <w:t>R3 Cambio tardío</w:t>
            </w:r>
          </w:p>
        </w:tc>
        <w:tc>
          <w:tcPr>
            <w:tcW w:type="dxa" w:w="1417"/>
          </w:tcPr>
          <w:p>
            <w:pPr>
              <w:spacing w:after="20"/>
            </w:pPr>
            <w:r/>
            <w:r>
              <w:rPr>
                <w:sz w:val="14"/>
              </w:rPr>
              <w:t>BN-003, SE-005, GL-025; US-024; CA-062</w:t>
            </w:r>
          </w:p>
        </w:tc>
        <w:tc>
          <w:tcPr>
            <w:tcW w:type="dxa" w:w="1474"/>
          </w:tcPr>
          <w:p>
            <w:pPr>
              <w:spacing w:after="20"/>
            </w:pPr>
            <w:r/>
            <w:r>
              <w:rPr>
                <w:sz w:val="14"/>
              </w:rPr>
              <w:t>Cambio a 3 días; proveedores responden no viable</w:t>
            </w:r>
          </w:p>
        </w:tc>
        <w:tc>
          <w:tcPr>
            <w:tcW w:type="dxa" w:w="1191"/>
          </w:tcPr>
          <w:p>
            <w:pPr>
              <w:spacing w:after="20"/>
            </w:pPr>
            <w:r/>
            <w:r>
              <w:rPr>
                <w:sz w:val="14"/>
              </w:rPr>
              <w:t>Coordinador</w:t>
            </w:r>
          </w:p>
        </w:tc>
        <w:tc>
          <w:tcPr>
            <w:tcW w:type="dxa" w:w="2211"/>
          </w:tcPr>
          <w:p>
            <w:pPr>
              <w:spacing w:after="20"/>
            </w:pPr>
            <w:r/>
            <w:r>
              <w:rPr>
                <w:sz w:val="14"/>
              </w:rPr>
              <w:t>No procedente; no se genera ninguna obligación (no se cobra el cargo)</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PIA-13</w:t>
            </w:r>
          </w:p>
        </w:tc>
        <w:tc>
          <w:tcPr>
            <w:tcW w:type="dxa" w:w="1020"/>
          </w:tcPr>
          <w:p>
            <w:pPr>
              <w:spacing w:after="20"/>
            </w:pPr>
            <w:r/>
            <w:r>
              <w:rPr>
                <w:sz w:val="14"/>
              </w:rPr>
              <w:t>R3 Cambio tardío</w:t>
            </w:r>
          </w:p>
        </w:tc>
        <w:tc>
          <w:tcPr>
            <w:tcW w:type="dxa" w:w="1417"/>
          </w:tcPr>
          <w:p>
            <w:pPr>
              <w:spacing w:after="20"/>
            </w:pPr>
            <w:r/>
            <w:r>
              <w:rPr>
                <w:sz w:val="14"/>
              </w:rPr>
              <w:t>BN-003, GL-060 (límite inclusivo en T); CA-039</w:t>
            </w:r>
          </w:p>
        </w:tc>
        <w:tc>
          <w:tcPr>
            <w:tcW w:type="dxa" w:w="1474"/>
          </w:tcPr>
          <w:p>
            <w:pPr>
              <w:spacing w:after="20"/>
            </w:pPr>
            <w:r/>
            <w:r>
              <w:rPr>
                <w:sz w:val="14"/>
              </w:rPr>
              <w:t>Solicitud de cambio el 20/11/2026 18:00 (inicio)</w:t>
            </w:r>
          </w:p>
        </w:tc>
        <w:tc>
          <w:tcPr>
            <w:tcW w:type="dxa" w:w="1191"/>
          </w:tcPr>
          <w:p>
            <w:pPr>
              <w:spacing w:after="20"/>
            </w:pPr>
            <w:r/>
            <w:r>
              <w:rPr>
                <w:sz w:val="14"/>
              </w:rPr>
              <w:t>Coordinador</w:t>
            </w:r>
          </w:p>
        </w:tc>
        <w:tc>
          <w:tcPr>
            <w:tcW w:type="dxa" w:w="2211"/>
          </w:tcPr>
          <w:p>
            <w:pPr>
              <w:spacing w:after="20"/>
            </w:pPr>
            <w:r/>
            <w:r>
              <w:rPr>
                <w:sz w:val="14"/>
              </w:rPr>
              <w:t>Rechazo: el cambio solo procede antes del inicio; no se registra solicitud</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PIA-14</w:t>
            </w:r>
          </w:p>
        </w:tc>
        <w:tc>
          <w:tcPr>
            <w:tcW w:type="dxa" w:w="1020"/>
          </w:tcPr>
          <w:p>
            <w:pPr>
              <w:spacing w:after="20"/>
            </w:pPr>
            <w:r/>
            <w:r>
              <w:rPr>
                <w:sz w:val="14"/>
              </w:rPr>
              <w:t>R4 Pago de servicio adicional</w:t>
            </w:r>
          </w:p>
        </w:tc>
        <w:tc>
          <w:tcPr>
            <w:tcW w:type="dxa" w:w="1417"/>
          </w:tcPr>
          <w:p>
            <w:pPr>
              <w:spacing w:after="20"/>
            </w:pPr>
            <w:r/>
            <w:r>
              <w:rPr>
                <w:sz w:val="14"/>
              </w:rPr>
              <w:t>BN-004, SE-004, GL-045; US-025; CA-080, CA-082</w:t>
            </w:r>
          </w:p>
        </w:tc>
        <w:tc>
          <w:tcPr>
            <w:tcW w:type="dxa" w:w="1474"/>
          </w:tcPr>
          <w:p>
            <w:pPr>
              <w:spacing w:after="20"/>
            </w:pPr>
            <w:r/>
            <w:r>
              <w:rPr>
                <w:sz w:val="14"/>
              </w:rPr>
              <w:t>Pago 1 500.00 a las + 10 h</w:t>
            </w:r>
          </w:p>
        </w:tc>
        <w:tc>
          <w:tcPr>
            <w:tcW w:type="dxa" w:w="1191"/>
          </w:tcPr>
          <w:p>
            <w:pPr>
              <w:spacing w:after="20"/>
            </w:pPr>
            <w:r/>
            <w:r>
              <w:rPr>
                <w:sz w:val="14"/>
              </w:rPr>
              <w:t>Administración / Coordinador</w:t>
            </w:r>
          </w:p>
        </w:tc>
        <w:tc>
          <w:tcPr>
            <w:tcW w:type="dxa" w:w="2211"/>
          </w:tcPr>
          <w:p>
            <w:pPr>
              <w:spacing w:after="20"/>
            </w:pPr>
            <w:r/>
            <w:r>
              <w:rPr>
                <w:sz w:val="14"/>
              </w:rPr>
              <w:t>Servicio adicional Confirmado e incorporado al evento</w:t>
            </w:r>
          </w:p>
        </w:tc>
        <w:tc>
          <w:tcPr>
            <w:tcW w:type="dxa" w:w="907"/>
          </w:tcPr>
          <w:p>
            <w:pPr>
              <w:spacing w:after="20"/>
            </w:pPr>
            <w:r/>
            <w:r>
              <w:rPr>
                <w:sz w:val="14"/>
              </w:rPr>
              <w:t>Éxito</w:t>
            </w:r>
          </w:p>
        </w:tc>
        <w:tc>
          <w:tcPr>
            <w:tcW w:type="dxa" w:w="907"/>
          </w:tcPr>
          <w:p>
            <w:pPr>
              <w:spacing w:after="20"/>
            </w:pPr>
            <w:r/>
            <w:r>
              <w:rPr>
                <w:sz w:val="14"/>
              </w:rPr>
              <w:t>PASSED</w:t>
            </w:r>
          </w:p>
        </w:tc>
      </w:tr>
      <w:tr>
        <w:trPr>
          <w:cantSplit w:val="true"/>
        </w:trPr>
        <w:tc>
          <w:tcPr>
            <w:tcW w:type="dxa" w:w="737"/>
          </w:tcPr>
          <w:p>
            <w:pPr>
              <w:spacing w:after="20"/>
            </w:pPr>
            <w:r/>
            <w:r>
              <w:rPr>
                <w:sz w:val="14"/>
              </w:rPr>
              <w:t>PIA-15</w:t>
            </w:r>
          </w:p>
        </w:tc>
        <w:tc>
          <w:tcPr>
            <w:tcW w:type="dxa" w:w="1020"/>
          </w:tcPr>
          <w:p>
            <w:pPr>
              <w:spacing w:after="20"/>
            </w:pPr>
            <w:r/>
            <w:r>
              <w:rPr>
                <w:sz w:val="14"/>
              </w:rPr>
              <w:t>R4 Pago de servicio adicional</w:t>
            </w:r>
          </w:p>
        </w:tc>
        <w:tc>
          <w:tcPr>
            <w:tcW w:type="dxa" w:w="1417"/>
          </w:tcPr>
          <w:p>
            <w:pPr>
              <w:spacing w:after="20"/>
            </w:pPr>
            <w:r/>
            <w:r>
              <w:rPr>
                <w:sz w:val="14"/>
              </w:rPr>
              <w:t>BN-004, GL-060; US-025; CA-080, CA-082</w:t>
            </w:r>
          </w:p>
        </w:tc>
        <w:tc>
          <w:tcPr>
            <w:tcW w:type="dxa" w:w="1474"/>
          </w:tcPr>
          <w:p>
            <w:pPr>
              <w:spacing w:after="20"/>
            </w:pPr>
            <w:r/>
            <w:r>
              <w:rPr>
                <w:sz w:val="14"/>
              </w:rPr>
              <w:t>Pago efectuado en + 24 h exactas y registrado en + 30 h</w:t>
            </w:r>
          </w:p>
        </w:tc>
        <w:tc>
          <w:tcPr>
            <w:tcW w:type="dxa" w:w="1191"/>
          </w:tcPr>
          <w:p>
            <w:pPr>
              <w:spacing w:after="20"/>
            </w:pPr>
            <w:r/>
            <w:r>
              <w:rPr>
                <w:sz w:val="14"/>
              </w:rPr>
              <w:t>Administración / Coordinador</w:t>
            </w:r>
          </w:p>
        </w:tc>
        <w:tc>
          <w:tcPr>
            <w:tcW w:type="dxa" w:w="2211"/>
          </w:tcPr>
          <w:p>
            <w:pPr>
              <w:spacing w:after="20"/>
            </w:pPr>
            <w:r/>
            <w:r>
              <w:rPr>
                <w:sz w:val="14"/>
              </w:rPr>
              <w:t>No se cierra (límite inclusivo); el servicio se confirma</w:t>
            </w:r>
          </w:p>
        </w:tc>
        <w:tc>
          <w:tcPr>
            <w:tcW w:type="dxa" w:w="907"/>
          </w:tcPr>
          <w:p>
            <w:pPr>
              <w:spacing w:after="20"/>
            </w:pPr>
            <w:r/>
            <w:r>
              <w:rPr>
                <w:sz w:val="14"/>
              </w:rPr>
              <w:t>Límite</w:t>
            </w:r>
          </w:p>
        </w:tc>
        <w:tc>
          <w:tcPr>
            <w:tcW w:type="dxa" w:w="907"/>
          </w:tcPr>
          <w:p>
            <w:pPr>
              <w:spacing w:after="20"/>
            </w:pPr>
            <w:r/>
            <w:r>
              <w:rPr>
                <w:sz w:val="14"/>
              </w:rPr>
              <w:t>PASSED</w:t>
            </w:r>
          </w:p>
        </w:tc>
      </w:tr>
      <w:tr>
        <w:trPr>
          <w:cantSplit w:val="true"/>
        </w:trPr>
        <w:tc>
          <w:tcPr>
            <w:tcW w:type="dxa" w:w="737"/>
          </w:tcPr>
          <w:p>
            <w:pPr>
              <w:spacing w:after="20"/>
            </w:pPr>
            <w:r/>
            <w:r>
              <w:rPr>
                <w:sz w:val="14"/>
              </w:rPr>
              <w:t>PIA-16</w:t>
            </w:r>
          </w:p>
        </w:tc>
        <w:tc>
          <w:tcPr>
            <w:tcW w:type="dxa" w:w="1020"/>
          </w:tcPr>
          <w:p>
            <w:pPr>
              <w:spacing w:after="20"/>
            </w:pPr>
            <w:r/>
            <w:r>
              <w:rPr>
                <w:sz w:val="14"/>
              </w:rPr>
              <w:t>R4 Pago de servicio adicional</w:t>
            </w:r>
          </w:p>
        </w:tc>
        <w:tc>
          <w:tcPr>
            <w:tcW w:type="dxa" w:w="1417"/>
          </w:tcPr>
          <w:p>
            <w:pPr>
              <w:spacing w:after="20"/>
            </w:pPr>
            <w:r/>
            <w:r>
              <w:rPr>
                <w:sz w:val="14"/>
              </w:rPr>
              <w:t>BN-004, GL-060; US-025; CA-080</w:t>
            </w:r>
          </w:p>
        </w:tc>
        <w:tc>
          <w:tcPr>
            <w:tcW w:type="dxa" w:w="1474"/>
          </w:tcPr>
          <w:p>
            <w:pPr>
              <w:spacing w:after="20"/>
            </w:pPr>
            <w:r/>
            <w:r>
              <w:rPr>
                <w:sz w:val="14"/>
              </w:rPr>
              <w:t>Cierre en + 24 h 1 s</w:t>
            </w:r>
          </w:p>
        </w:tc>
        <w:tc>
          <w:tcPr>
            <w:tcW w:type="dxa" w:w="1191"/>
          </w:tcPr>
          <w:p>
            <w:pPr>
              <w:spacing w:after="20"/>
            </w:pPr>
            <w:r/>
            <w:r>
              <w:rPr>
                <w:sz w:val="14"/>
              </w:rPr>
              <w:t>Coordinador</w:t>
            </w:r>
          </w:p>
        </w:tc>
        <w:tc>
          <w:tcPr>
            <w:tcW w:type="dxa" w:w="2211"/>
          </w:tcPr>
          <w:p>
            <w:pPr>
              <w:spacing w:after="20"/>
            </w:pPr>
            <w:r/>
            <w:r>
              <w:rPr>
                <w:sz w:val="14"/>
              </w:rPr>
              <w:t>Cerrada por falta de pago; obligación Sin efecto; no se puede confirmar ni se incorpora el servicio</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PIA-17</w:t>
            </w:r>
          </w:p>
        </w:tc>
        <w:tc>
          <w:tcPr>
            <w:tcW w:type="dxa" w:w="1020"/>
          </w:tcPr>
          <w:p>
            <w:pPr>
              <w:spacing w:after="20"/>
            </w:pPr>
            <w:r/>
            <w:r>
              <w:rPr>
                <w:sz w:val="14"/>
              </w:rPr>
              <w:t>Integración</w:t>
            </w:r>
          </w:p>
        </w:tc>
        <w:tc>
          <w:tcPr>
            <w:tcW w:type="dxa" w:w="1417"/>
          </w:tcPr>
          <w:p>
            <w:pPr>
              <w:spacing w:after="20"/>
            </w:pPr>
            <w:r/>
            <w:r>
              <w:rPr>
                <w:sz w:val="14"/>
              </w:rPr>
              <w:t>BN-009; decisión B; CA-019</w:t>
            </w:r>
          </w:p>
        </w:tc>
        <w:tc>
          <w:tcPr>
            <w:tcW w:type="dxa" w:w="1474"/>
          </w:tcPr>
          <w:p>
            <w:pPr>
              <w:spacing w:after="20"/>
            </w:pPr>
            <w:r/>
            <w:r>
              <w:rPr>
                <w:sz w:val="14"/>
              </w:rPr>
              <w:t>Anticipo 4 000.00</w:t>
            </w:r>
          </w:p>
        </w:tc>
        <w:tc>
          <w:tcPr>
            <w:tcW w:type="dxa" w:w="1191"/>
          </w:tcPr>
          <w:p>
            <w:pPr>
              <w:spacing w:after="20"/>
            </w:pPr>
            <w:r/>
            <w:r>
              <w:rPr>
                <w:sz w:val="14"/>
              </w:rPr>
              <w:t>Administración</w:t>
            </w:r>
          </w:p>
        </w:tc>
        <w:tc>
          <w:tcPr>
            <w:tcW w:type="dxa" w:w="2211"/>
          </w:tcPr>
          <w:p>
            <w:pPr>
              <w:spacing w:after="20"/>
            </w:pPr>
            <w:r/>
            <w:r>
              <w:rPr>
                <w:sz w:val="14"/>
              </w:rPr>
              <w:t>Anticipo Liquidado, pago Verificado, saldo 7 000.00 y contrato confirmado leídos desde PostgreSQL</w:t>
            </w:r>
          </w:p>
        </w:tc>
        <w:tc>
          <w:tcPr>
            <w:tcW w:type="dxa" w:w="907"/>
          </w:tcPr>
          <w:p>
            <w:pPr>
              <w:spacing w:after="20"/>
            </w:pPr>
            <w:r/>
            <w:r>
              <w:rPr>
                <w:sz w:val="14"/>
              </w:rPr>
              <w:t>Éxito</w:t>
            </w:r>
          </w:p>
        </w:tc>
        <w:tc>
          <w:tcPr>
            <w:tcW w:type="dxa" w:w="907"/>
          </w:tcPr>
          <w:p>
            <w:pPr>
              <w:spacing w:after="20"/>
            </w:pPr>
            <w:r/>
            <w:r>
              <w:rPr>
                <w:sz w:val="14"/>
              </w:rPr>
              <w:t>PASSED</w:t>
            </w:r>
          </w:p>
        </w:tc>
      </w:tr>
      <w:tr>
        <w:trPr>
          <w:cantSplit w:val="true"/>
        </w:trPr>
        <w:tc>
          <w:tcPr>
            <w:tcW w:type="dxa" w:w="737"/>
          </w:tcPr>
          <w:p>
            <w:pPr>
              <w:spacing w:after="20"/>
            </w:pPr>
            <w:r/>
            <w:r>
              <w:rPr>
                <w:sz w:val="14"/>
              </w:rPr>
              <w:t>PIA-18</w:t>
            </w:r>
          </w:p>
        </w:tc>
        <w:tc>
          <w:tcPr>
            <w:tcW w:type="dxa" w:w="1020"/>
          </w:tcPr>
          <w:p>
            <w:pPr>
              <w:spacing w:after="20"/>
            </w:pPr>
            <w:r/>
            <w:r>
              <w:rPr>
                <w:sz w:val="14"/>
              </w:rPr>
              <w:t>Integración</w:t>
            </w:r>
          </w:p>
        </w:tc>
        <w:tc>
          <w:tcPr>
            <w:tcW w:type="dxa" w:w="1417"/>
          </w:tcPr>
          <w:p>
            <w:pPr>
              <w:spacing w:after="20"/>
            </w:pPr>
            <w:r/>
            <w:r>
              <w:rPr>
                <w:sz w:val="14"/>
              </w:rPr>
              <w:t>BN-004, SE-004; CA-083</w:t>
            </w:r>
          </w:p>
        </w:tc>
        <w:tc>
          <w:tcPr>
            <w:tcW w:type="dxa" w:w="1474"/>
          </w:tcPr>
          <w:p>
            <w:pPr>
              <w:spacing w:after="20"/>
            </w:pPr>
            <w:r/>
            <w:r>
              <w:rPr>
                <w:sz w:val="14"/>
              </w:rPr>
              <w:t>Solicitud a 4 días</w:t>
            </w:r>
          </w:p>
        </w:tc>
        <w:tc>
          <w:tcPr>
            <w:tcW w:type="dxa" w:w="1191"/>
          </w:tcPr>
          <w:p>
            <w:pPr>
              <w:spacing w:after="20"/>
            </w:pPr>
            <w:r/>
            <w:r>
              <w:rPr>
                <w:sz w:val="14"/>
              </w:rPr>
              <w:t>Coordinador</w:t>
            </w:r>
          </w:p>
        </w:tc>
        <w:tc>
          <w:tcPr>
            <w:tcW w:type="dxa" w:w="2211"/>
          </w:tcPr>
          <w:p>
            <w:pPr>
              <w:spacing w:after="20"/>
            </w:pPr>
            <w:r/>
            <w:r>
              <w:rPr>
                <w:sz w:val="14"/>
              </w:rPr>
              <w:t>No procedente con causa Plazo insuficiente persistida</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PIA-19</w:t>
            </w:r>
          </w:p>
        </w:tc>
        <w:tc>
          <w:tcPr>
            <w:tcW w:type="dxa" w:w="1020"/>
          </w:tcPr>
          <w:p>
            <w:pPr>
              <w:spacing w:after="20"/>
            </w:pPr>
            <w:r/>
            <w:r>
              <w:rPr>
                <w:sz w:val="14"/>
              </w:rPr>
              <w:t>Integración</w:t>
            </w:r>
          </w:p>
        </w:tc>
        <w:tc>
          <w:tcPr>
            <w:tcW w:type="dxa" w:w="1417"/>
          </w:tcPr>
          <w:p>
            <w:pPr>
              <w:spacing w:after="20"/>
            </w:pPr>
            <w:r/>
            <w:r>
              <w:rPr>
                <w:sz w:val="14"/>
              </w:rPr>
              <w:t>ADR-004 (Unidad de trabajo); —</w:t>
            </w:r>
          </w:p>
        </w:tc>
        <w:tc>
          <w:tcPr>
            <w:tcW w:type="dxa" w:w="1474"/>
          </w:tcPr>
          <w:p>
            <w:pPr>
              <w:spacing w:after="20"/>
            </w:pPr>
            <w:r/>
            <w:r>
              <w:rPr>
                <w:sz w:val="14"/>
              </w:rPr>
              <w:t>Dos solicitudes guardadas en transacciones distintas</w:t>
            </w:r>
          </w:p>
        </w:tc>
        <w:tc>
          <w:tcPr>
            <w:tcW w:type="dxa" w:w="1191"/>
          </w:tcPr>
          <w:p>
            <w:pPr>
              <w:spacing w:after="20"/>
            </w:pPr>
            <w:r/>
            <w:r>
              <w:rPr>
                <w:sz w:val="14"/>
              </w:rPr>
              <w:t>Sistema</w:t>
            </w:r>
          </w:p>
        </w:tc>
        <w:tc>
          <w:tcPr>
            <w:tcW w:type="dxa" w:w="2211"/>
          </w:tcPr>
          <w:p>
            <w:pPr>
              <w:spacing w:after="20"/>
            </w:pPr>
            <w:r/>
            <w:r>
              <w:rPr>
                <w:sz w:val="14"/>
              </w:rPr>
              <w:t>La revertida no existe; la confirmada sí; el conteo aumenta en 1</w:t>
            </w:r>
          </w:p>
        </w:tc>
        <w:tc>
          <w:tcPr>
            <w:tcW w:type="dxa" w:w="907"/>
          </w:tcPr>
          <w:p>
            <w:pPr>
              <w:spacing w:after="20"/>
            </w:pPr>
            <w:r/>
            <w:r>
              <w:rPr>
                <w:sz w:val="14"/>
              </w:rPr>
              <w:t>Límite</w:t>
            </w:r>
          </w:p>
        </w:tc>
        <w:tc>
          <w:tcPr>
            <w:tcW w:type="dxa" w:w="907"/>
          </w:tcPr>
          <w:p>
            <w:pPr>
              <w:spacing w:after="20"/>
            </w:pPr>
            <w:r/>
            <w:r>
              <w:rPr>
                <w:sz w:val="14"/>
              </w:rPr>
              <w:t>PASSED</w:t>
            </w:r>
          </w:p>
        </w:tc>
      </w:tr>
      <w:tr>
        <w:trPr>
          <w:cantSplit w:val="true"/>
        </w:trPr>
        <w:tc>
          <w:tcPr>
            <w:tcW w:type="dxa" w:w="737"/>
          </w:tcPr>
          <w:p>
            <w:pPr>
              <w:spacing w:after="20"/>
            </w:pPr>
            <w:r/>
            <w:r>
              <w:rPr>
                <w:sz w:val="14"/>
              </w:rPr>
              <w:t>PIA-20</w:t>
            </w:r>
          </w:p>
        </w:tc>
        <w:tc>
          <w:tcPr>
            <w:tcW w:type="dxa" w:w="1020"/>
          </w:tcPr>
          <w:p>
            <w:pPr>
              <w:spacing w:after="20"/>
            </w:pPr>
            <w:r/>
            <w:r>
              <w:rPr>
                <w:sz w:val="14"/>
              </w:rPr>
              <w:t>Integración</w:t>
            </w:r>
          </w:p>
        </w:tc>
        <w:tc>
          <w:tcPr>
            <w:tcW w:type="dxa" w:w="1417"/>
          </w:tcPr>
          <w:p>
            <w:pPr>
              <w:spacing w:after="20"/>
            </w:pPr>
            <w:r/>
            <w:r>
              <w:rPr>
                <w:sz w:val="14"/>
              </w:rPr>
              <w:t>BN-009; CA-019</w:t>
            </w:r>
          </w:p>
        </w:tc>
        <w:tc>
          <w:tcPr>
            <w:tcW w:type="dxa" w:w="1474"/>
          </w:tcPr>
          <w:p>
            <w:pPr>
              <w:spacing w:after="20"/>
            </w:pPr>
            <w:r/>
            <w:r>
              <w:rPr>
                <w:sz w:val="14"/>
              </w:rPr>
              <w:t>Anticipo 3 000.00, comprobante C-ANT</w:t>
            </w:r>
          </w:p>
        </w:tc>
        <w:tc>
          <w:tcPr>
            <w:tcW w:type="dxa" w:w="1191"/>
          </w:tcPr>
          <w:p>
            <w:pPr>
              <w:spacing w:after="20"/>
            </w:pPr>
            <w:r/>
            <w:r>
              <w:rPr>
                <w:sz w:val="14"/>
              </w:rPr>
              <w:t>Administración</w:t>
            </w:r>
          </w:p>
        </w:tc>
        <w:tc>
          <w:tcPr>
            <w:tcW w:type="dxa" w:w="2211"/>
          </w:tcPr>
          <w:p>
            <w:pPr>
              <w:spacing w:after="20"/>
            </w:pPr>
            <w:r/>
            <w:r>
              <w:rPr>
                <w:sz w:val="14"/>
              </w:rPr>
              <w:t>Primero queda Registrado y no se confirma; tras la verificación se confirma; el mock recibe (C-ANT, 3 000.00)</w:t>
            </w:r>
          </w:p>
        </w:tc>
        <w:tc>
          <w:tcPr>
            <w:tcW w:type="dxa" w:w="907"/>
          </w:tcPr>
          <w:p>
            <w:pPr>
              <w:spacing w:after="20"/>
            </w:pPr>
            <w:r/>
            <w:r>
              <w:rPr>
                <w:sz w:val="14"/>
              </w:rPr>
              <w:t>Error</w:t>
            </w:r>
          </w:p>
        </w:tc>
        <w:tc>
          <w:tcPr>
            <w:tcW w:type="dxa" w:w="907"/>
          </w:tcPr>
          <w:p>
            <w:pPr>
              <w:spacing w:after="20"/>
            </w:pPr>
            <w:r/>
            <w:r>
              <w:rPr>
                <w:sz w:val="14"/>
              </w:rPr>
              <w:t>PASSED</w:t>
            </w:r>
          </w:p>
        </w:tc>
      </w:tr>
      <w:tr>
        <w:trPr>
          <w:cantSplit w:val="true"/>
        </w:trPr>
        <w:tc>
          <w:tcPr>
            <w:tcW w:type="dxa" w:w="737"/>
          </w:tcPr>
          <w:p>
            <w:pPr>
              <w:spacing w:after="20"/>
            </w:pPr>
            <w:r/>
            <w:r>
              <w:rPr>
                <w:sz w:val="14"/>
              </w:rPr>
              <w:t>PIA-21</w:t>
            </w:r>
          </w:p>
        </w:tc>
        <w:tc>
          <w:tcPr>
            <w:tcW w:type="dxa" w:w="1020"/>
          </w:tcPr>
          <w:p>
            <w:pPr>
              <w:spacing w:after="20"/>
            </w:pPr>
            <w:r/>
            <w:r>
              <w:rPr>
                <w:sz w:val="14"/>
              </w:rPr>
              <w:t>Integración</w:t>
            </w:r>
          </w:p>
        </w:tc>
        <w:tc>
          <w:tcPr>
            <w:tcW w:type="dxa" w:w="1417"/>
          </w:tcPr>
          <w:p>
            <w:pPr>
              <w:spacing w:after="20"/>
            </w:pPr>
            <w:r/>
            <w:r>
              <w:rPr>
                <w:sz w:val="14"/>
              </w:rPr>
              <w:t>SE-004; CA-073, CA-074</w:t>
            </w:r>
          </w:p>
        </w:tc>
        <w:tc>
          <w:tcPr>
            <w:tcW w:type="dxa" w:w="1474"/>
          </w:tcPr>
          <w:p>
            <w:pPr>
              <w:spacing w:after="20"/>
            </w:pPr>
            <w:r/>
            <w:r>
              <w:rPr>
                <w:sz w:val="14"/>
              </w:rPr>
              <w:t>Solicitud a 10 días</w:t>
            </w:r>
          </w:p>
        </w:tc>
        <w:tc>
          <w:tcPr>
            <w:tcW w:type="dxa" w:w="1191"/>
          </w:tcPr>
          <w:p>
            <w:pPr>
              <w:spacing w:after="20"/>
            </w:pPr>
            <w:r/>
            <w:r>
              <w:rPr>
                <w:sz w:val="14"/>
              </w:rPr>
              <w:t>Coordinador</w:t>
            </w:r>
          </w:p>
        </w:tc>
        <w:tc>
          <w:tcPr>
            <w:tcW w:type="dxa" w:w="2211"/>
          </w:tcPr>
          <w:p>
            <w:pPr>
              <w:spacing w:after="20"/>
            </w:pPr>
            <w:r/>
            <w:r>
              <w:rPr>
                <w:sz w:val="14"/>
              </w:rPr>
              <w:t>Consulta primero a PV-1 y después la general; elige PV-9</w:t>
            </w:r>
          </w:p>
        </w:tc>
        <w:tc>
          <w:tcPr>
            <w:tcW w:type="dxa" w:w="907"/>
          </w:tcPr>
          <w:p>
            <w:pPr>
              <w:spacing w:after="20"/>
            </w:pPr>
            <w:r/>
            <w:r>
              <w:rPr>
                <w:sz w:val="14"/>
              </w:rPr>
              <w:t>Éxito</w:t>
            </w:r>
          </w:p>
        </w:tc>
        <w:tc>
          <w:tcPr>
            <w:tcW w:type="dxa" w:w="907"/>
          </w:tcPr>
          <w:p>
            <w:pPr>
              <w:spacing w:after="20"/>
            </w:pPr>
            <w:r/>
            <w:r>
              <w:rPr>
                <w:sz w:val="14"/>
              </w:rPr>
              <w:t>PASSED</w:t>
            </w:r>
          </w:p>
        </w:tc>
      </w:tr>
    </w:tbl>
    <w:p>
      <w:pPr>
        <w:spacing w:before="0" w:after="40" w:line="276" w:lineRule="auto"/>
        <w:jc w:val="both"/>
      </w:pPr>
    </w:p>
    <w:p>
      <w:pPr>
        <w:pStyle w:val="Ttulo2"/>
        <w:keepNext/>
      </w:pPr>
      <w:r>
        <w:t>Anexo C. Reproducción</w:t>
      </w:r>
    </w:p>
    <w:p>
      <w:pPr>
        <w:spacing w:before="40" w:after="160" w:line="240" w:lineRule="auto"/>
        <w:shd w:val="clear" w:color="auto" w:fill="F2F4F7"/>
        <w:ind w:left="170" w:right="170"/>
      </w:pPr>
      <w:r>
        <w:rPr>
          <w:rFonts w:ascii="Consolas" w:hAnsi="Consolas" w:eastAsia="Consolas"/>
          <w:sz w:val="17"/>
        </w:rPr>
        <w:t># Laboratorio (raíz del entregable)</w:t>
        <w:br/>
      </w:r>
      <w:r>
        <w:rPr>
          <w:rFonts w:ascii="Consolas" w:hAnsi="Consolas" w:eastAsia="Consolas"/>
          <w:sz w:val="17"/>
        </w:rPr>
        <w:t>python -m venv .venv &amp;&amp; source .venv/bin/activate      # Windows: .\.venv\Scripts\Activate.ps1</w:t>
        <w:br/>
      </w:r>
      <w:r>
        <w:rPr>
          <w:rFonts w:ascii="Consolas" w:hAnsi="Consolas" w:eastAsia="Consolas"/>
          <w:sz w:val="17"/>
        </w:rPr>
        <w:t>python -m pip install -r requirements.txt</w:t>
        <w:br/>
      </w:r>
      <w:r>
        <w:rPr>
          <w:rFonts w:ascii="Consolas" w:hAnsi="Consolas" w:eastAsia="Consolas"/>
          <w:sz w:val="17"/>
        </w:rPr>
        <w:t>python -m ruff check src tests</w:t>
        <w:br/>
      </w:r>
      <w:r>
        <w:rPr>
          <w:rFonts w:ascii="Consolas" w:hAnsi="Consolas" w:eastAsia="Consolas"/>
          <w:sz w:val="17"/>
        </w:rPr>
        <w:t>python -m pytest -v --cov=src --cov-report=term-missing --cov-report=html --cov-fail-under=80</w:t>
        <w:br/>
      </w:r>
      <w:r>
        <w:rPr>
          <w:rFonts w:ascii="Consolas" w:hAnsi="Consolas" w:eastAsia="Consolas"/>
          <w:sz w:val="17"/>
        </w:rPr>
        <w:t>python herramientas/generar_matrices.py                 # regenera las matrices desde evidencias/*/junit_*.xml</w:t>
        <w:br/>
      </w:r>
      <w:r>
        <w:rPr>
          <w:rFonts w:ascii="Consolas" w:hAnsi="Consolas" w:eastAsia="Consolas"/>
          <w:sz w:val="17"/>
        </w:rPr>
        <w:br/>
      </w:r>
      <w:r>
        <w:rPr>
          <w:rFonts w:ascii="Consolas" w:hAnsi="Consolas" w:eastAsia="Consolas"/>
          <w:sz w:val="17"/>
        </w:rPr>
        <w:t># Eventos Nova: copia del repositorio del equipo con tests_u5 integradas</w:t>
        <w:br/>
      </w:r>
      <w:r>
        <w:rPr>
          <w:rFonts w:ascii="Consolas" w:hAnsi="Consolas" w:eastAsia="Consolas"/>
          <w:sz w:val="17"/>
        </w:rPr>
        <w:t>cd pia_eventos_nova/Eventosnova</w:t>
        <w:br/>
      </w:r>
      <w:r>
        <w:rPr>
          <w:rFonts w:ascii="Consolas" w:hAnsi="Consolas" w:eastAsia="Consolas"/>
          <w:sz w:val="17"/>
        </w:rPr>
        <w:t>python -m pip install -r requirements-dev.txt "pytest&gt;=8,&lt;10" "pytest-cov&gt;=5,&lt;8"</w:t>
        <w:br/>
      </w:r>
      <w:r>
        <w:rPr>
          <w:rFonts w:ascii="Consolas" w:hAnsi="Consolas" w:eastAsia="Consolas"/>
          <w:sz w:val="17"/>
        </w:rPr>
        <w:t>python -m pytest -v -rxX                                # pytest.ini: recoge tests_u5; PostgreSQL opcional (TEST_DATABASE_URL)</w:t>
        <w:br/>
      </w:r>
      <w:r>
        <w:rPr>
          <w:rFonts w:ascii="Consolas" w:hAnsi="Consolas" w:eastAsia="Consolas"/>
          <w:sz w:val="17"/>
        </w:rPr>
        <w:t>python -m unittest discover -s tests                    # suite propia del equipo</w:t>
      </w:r>
    </w:p>
    <w:sectPr w:rsidR="00020A75">
      <w:headerReference w:type="default" r:id="rId13"/>
      <w:footerReference w:type="default" r:id="rId14"/>
      <w:pgSz w:w="12240" w:h="15840"/>
      <w:pgMar w:top="1900" w:right="1080" w:bottom="1300" w:left="108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7B30" w14:textId="77777777" w:rsidR="007D62B8" w:rsidRDefault="007D62B8">
      <w:r>
        <w:separator/>
      </w:r>
    </w:p>
  </w:endnote>
  <w:endnote w:type="continuationSeparator" w:id="0">
    <w:p w14:paraId="1501006A" w14:textId="77777777" w:rsidR="007D62B8" w:rsidRDefault="007D6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511A5" w14:paraId="566CDD91" w14:textId="77777777">
      <w:tc>
        <w:tcPr>
          <w:tcW w:w="5040" w:type="dxa"/>
          <w:tcBorders>
            <w:top w:val="none" w:sz="0" w:space="0" w:color="FFFFFF"/>
            <w:left w:val="none" w:sz="0" w:space="0" w:color="FFFFFF"/>
            <w:bottom w:val="none" w:sz="0" w:space="0" w:color="FFFFFF"/>
            <w:right w:val="none" w:sz="0" w:space="0" w:color="FFFFFF"/>
          </w:tcBorders>
          <w:vAlign w:val="center"/>
        </w:tcPr>
        <w:p w14:paraId="09F6D988" w14:textId="77777777" w:rsidR="001511A5" w:rsidRDefault="001511A5">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6D15A4">
            <w:rPr>
              <w:noProof/>
              <w:color w:val="595959"/>
              <w:sz w:val="16"/>
              <w:szCs w:val="16"/>
            </w:rPr>
            <w:t>27</w:t>
          </w:r>
          <w:r>
            <w:rPr>
              <w:color w:val="595959"/>
              <w:sz w:val="16"/>
              <w:szCs w:val="16"/>
            </w:rPr>
            <w:fldChar w:fldCharType="end"/>
          </w:r>
        </w:p>
      </w:tc>
      <w:tc>
        <w:tcPr>
          <w:tcW w:w="5040" w:type="dxa"/>
          <w:tcBorders>
            <w:top w:val="none" w:sz="0" w:space="0" w:color="FFFFFF"/>
            <w:left w:val="none" w:sz="0" w:space="0" w:color="FFFFFF"/>
            <w:bottom w:val="none" w:sz="0" w:space="0" w:color="FFFFFF"/>
            <w:right w:val="none" w:sz="0" w:space="0" w:color="FFFFFF"/>
          </w:tcBorders>
        </w:tcPr>
        <w:p w14:paraId="5E03E4C9" w14:textId="77777777" w:rsidR="001511A5" w:rsidRDefault="001511A5">
          <w:pPr>
            <w:jc w:val="right"/>
          </w:pPr>
          <w:r>
            <w:rPr>
              <w:noProof/>
            </w:rPr>
            <w:drawing>
              <wp:inline distT="0" distB="0" distL="0" distR="0" wp14:anchorId="10BC814F" wp14:editId="2AB967C7">
                <wp:extent cx="762000" cy="381000"/>
                <wp:effectExtent l="0" t="0" r="0" b="0"/>
                <wp:docPr id="3" name="p1-002.png" descr="logo instituciona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381000"/>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53FC" w14:textId="77777777" w:rsidR="007D62B8" w:rsidRDefault="007D62B8">
      <w:r>
        <w:separator/>
      </w:r>
    </w:p>
  </w:footnote>
  <w:footnote w:type="continuationSeparator" w:id="0">
    <w:p w14:paraId="41F0F66C" w14:textId="77777777" w:rsidR="007D62B8" w:rsidRDefault="007D6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511A5" w14:paraId="7EFF63F9" w14:textId="77777777">
      <w:tc>
        <w:tcPr>
          <w:tcW w:w="5040" w:type="dxa"/>
          <w:tcBorders>
            <w:top w:val="none" w:sz="0" w:space="0" w:color="FFFFFF"/>
            <w:left w:val="none" w:sz="0" w:space="0" w:color="FFFFFF"/>
            <w:bottom w:val="none" w:sz="0" w:space="0" w:color="FFFFFF"/>
            <w:right w:val="none" w:sz="0" w:space="0" w:color="FFFFFF"/>
          </w:tcBorders>
        </w:tcPr>
        <w:p w14:paraId="39AF65B3" w14:textId="77777777" w:rsidR="001511A5" w:rsidRDefault="001511A5">
          <w:r>
            <w:rPr>
              <w:noProof/>
            </w:rPr>
            <w:drawing>
              <wp:inline distT="0" distB="0" distL="0" distR="0" wp14:anchorId="0F26F91E" wp14:editId="652FAD97">
                <wp:extent cx="1238250" cy="581025"/>
                <wp:effectExtent l="0" t="0" r="0" b="0"/>
                <wp:docPr id="1" name="p1-000.png" descr="logo instituciona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581025"/>
                        </a:xfrm>
                        <a:prstGeom prst="rect">
                          <a:avLst/>
                        </a:prstGeom>
                      </pic:spPr>
                    </pic:pic>
                  </a:graphicData>
                </a:graphic>
              </wp:inline>
            </w:drawing>
          </w:r>
        </w:p>
      </w:tc>
      <w:tc>
        <w:tcPr>
          <w:tcW w:w="5040" w:type="dxa"/>
          <w:tcBorders>
            <w:top w:val="none" w:sz="0" w:space="0" w:color="FFFFFF"/>
            <w:left w:val="none" w:sz="0" w:space="0" w:color="FFFFFF"/>
            <w:bottom w:val="none" w:sz="0" w:space="0" w:color="FFFFFF"/>
            <w:right w:val="none" w:sz="0" w:space="0" w:color="FFFFFF"/>
          </w:tcBorders>
        </w:tcPr>
        <w:p w14:paraId="18DD5B2C" w14:textId="77777777" w:rsidR="001511A5" w:rsidRDefault="001511A5">
          <w:pPr>
            <w:jc w:val="right"/>
          </w:pPr>
          <w:r>
            <w:rPr>
              <w:noProof/>
            </w:rPr>
            <w:drawing>
              <wp:inline distT="0" distB="0" distL="0" distR="0" wp14:anchorId="712374CF" wp14:editId="78452C2C">
                <wp:extent cx="1009650" cy="571500"/>
                <wp:effectExtent l="0" t="0" r="0" b="0"/>
                <wp:docPr id="2" name="p1-001.png" descr="logo institucional"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09650" cy="571500"/>
                        </a:xfrm>
                        <a:prstGeom prst="rect">
                          <a:avLst/>
                        </a:prstGeom>
                      </pic:spPr>
                    </pic:pic>
                  </a:graphicData>
                </a:graphic>
              </wp:inline>
            </w:drawing>
          </w:r>
        </w:p>
      </w:tc>
    </w:tr>
  </w:tbl>
  <w:p w14:paraId="26AB421E" w14:textId="77777777" w:rsidR="001511A5" w:rsidRDefault="001511A5">
    <w:pPr>
      <w:spacing w:before="60"/>
      <w:jc w:val="right"/>
    </w:pPr>
    <w:r>
      <w:rPr>
        <w:sz w:val="18"/>
        <w:szCs w:val="18"/>
      </w:rPr>
      <w:t>Reporte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D3A"/>
    <w:multiLevelType w:val="hybridMultilevel"/>
    <w:tmpl w:val="A7FE6416"/>
    <w:lvl w:ilvl="0" w:tplc="3CC81892">
      <w:start w:val="1"/>
      <w:numFmt w:val="bullet"/>
      <w:lvlText w:val="•"/>
      <w:lvlJc w:val="left"/>
      <w:pPr>
        <w:ind w:left="540" w:hanging="270"/>
      </w:pPr>
    </w:lvl>
    <w:lvl w:ilvl="1" w:tplc="F2680628">
      <w:numFmt w:val="decimal"/>
      <w:lvlText w:val=""/>
      <w:lvlJc w:val="left"/>
    </w:lvl>
    <w:lvl w:ilvl="2" w:tplc="82683960">
      <w:numFmt w:val="decimal"/>
      <w:lvlText w:val=""/>
      <w:lvlJc w:val="left"/>
    </w:lvl>
    <w:lvl w:ilvl="3" w:tplc="67689482">
      <w:numFmt w:val="decimal"/>
      <w:lvlText w:val=""/>
      <w:lvlJc w:val="left"/>
    </w:lvl>
    <w:lvl w:ilvl="4" w:tplc="D6841056">
      <w:numFmt w:val="decimal"/>
      <w:lvlText w:val=""/>
      <w:lvlJc w:val="left"/>
    </w:lvl>
    <w:lvl w:ilvl="5" w:tplc="3300F066">
      <w:numFmt w:val="decimal"/>
      <w:lvlText w:val=""/>
      <w:lvlJc w:val="left"/>
    </w:lvl>
    <w:lvl w:ilvl="6" w:tplc="FDC8A470">
      <w:numFmt w:val="decimal"/>
      <w:lvlText w:val=""/>
      <w:lvlJc w:val="left"/>
    </w:lvl>
    <w:lvl w:ilvl="7" w:tplc="E1ECB744">
      <w:numFmt w:val="decimal"/>
      <w:lvlText w:val=""/>
      <w:lvlJc w:val="left"/>
    </w:lvl>
    <w:lvl w:ilvl="8" w:tplc="6460288E">
      <w:numFmt w:val="decimal"/>
      <w:lvlText w:val=""/>
      <w:lvlJc w:val="left"/>
    </w:lvl>
  </w:abstractNum>
  <w:abstractNum w:abstractNumId="1" w15:restartNumberingAfterBreak="0">
    <w:nsid w:val="2F045F2A"/>
    <w:multiLevelType w:val="hybridMultilevel"/>
    <w:tmpl w:val="1E2AA57A"/>
    <w:lvl w:ilvl="0" w:tplc="A654667A">
      <w:start w:val="1"/>
      <w:numFmt w:val="bullet"/>
      <w:lvlText w:val="●"/>
      <w:lvlJc w:val="left"/>
      <w:pPr>
        <w:ind w:left="720" w:hanging="360"/>
      </w:pPr>
    </w:lvl>
    <w:lvl w:ilvl="1" w:tplc="EB40B798">
      <w:start w:val="1"/>
      <w:numFmt w:val="bullet"/>
      <w:lvlText w:val="○"/>
      <w:lvlJc w:val="left"/>
      <w:pPr>
        <w:ind w:left="1440" w:hanging="360"/>
      </w:pPr>
    </w:lvl>
    <w:lvl w:ilvl="2" w:tplc="AFE21656">
      <w:start w:val="1"/>
      <w:numFmt w:val="bullet"/>
      <w:lvlText w:val="■"/>
      <w:lvlJc w:val="left"/>
      <w:pPr>
        <w:ind w:left="2160" w:hanging="360"/>
      </w:pPr>
    </w:lvl>
    <w:lvl w:ilvl="3" w:tplc="5756DBD6">
      <w:start w:val="1"/>
      <w:numFmt w:val="bullet"/>
      <w:lvlText w:val="●"/>
      <w:lvlJc w:val="left"/>
      <w:pPr>
        <w:ind w:left="2880" w:hanging="360"/>
      </w:pPr>
    </w:lvl>
    <w:lvl w:ilvl="4" w:tplc="648496AC">
      <w:start w:val="1"/>
      <w:numFmt w:val="bullet"/>
      <w:lvlText w:val="○"/>
      <w:lvlJc w:val="left"/>
      <w:pPr>
        <w:ind w:left="3600" w:hanging="360"/>
      </w:pPr>
    </w:lvl>
    <w:lvl w:ilvl="5" w:tplc="E3B67FB0">
      <w:start w:val="1"/>
      <w:numFmt w:val="bullet"/>
      <w:lvlText w:val="■"/>
      <w:lvlJc w:val="left"/>
      <w:pPr>
        <w:ind w:left="4320" w:hanging="360"/>
      </w:pPr>
    </w:lvl>
    <w:lvl w:ilvl="6" w:tplc="0C4616D0">
      <w:start w:val="1"/>
      <w:numFmt w:val="bullet"/>
      <w:lvlText w:val="●"/>
      <w:lvlJc w:val="left"/>
      <w:pPr>
        <w:ind w:left="5040" w:hanging="360"/>
      </w:pPr>
    </w:lvl>
    <w:lvl w:ilvl="7" w:tplc="A8264E3C">
      <w:start w:val="1"/>
      <w:numFmt w:val="bullet"/>
      <w:lvlText w:val="●"/>
      <w:lvlJc w:val="left"/>
      <w:pPr>
        <w:ind w:left="5760" w:hanging="360"/>
      </w:pPr>
    </w:lvl>
    <w:lvl w:ilvl="8" w:tplc="C0145D0C">
      <w:start w:val="1"/>
      <w:numFmt w:val="bullet"/>
      <w:lvlText w:val="●"/>
      <w:lvlJc w:val="left"/>
      <w:pPr>
        <w:ind w:left="6480" w:hanging="360"/>
      </w:pPr>
    </w:lvl>
  </w:abstractNum>
  <w:num w:numId="1" w16cid:durableId="1733651061">
    <w:abstractNumId w:val="1"/>
    <w:lvlOverride w:ilvl="0">
      <w:startOverride w:val="1"/>
    </w:lvlOverride>
  </w:num>
  <w:num w:numId="2" w16cid:durableId="135869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A75"/>
    <w:rsid w:val="00020A75"/>
    <w:rsid w:val="000D249F"/>
    <w:rsid w:val="001511A5"/>
    <w:rsid w:val="001D2FFC"/>
    <w:rsid w:val="002F6089"/>
    <w:rsid w:val="004F4F12"/>
    <w:rsid w:val="00594482"/>
    <w:rsid w:val="006431CD"/>
    <w:rsid w:val="00643AE0"/>
    <w:rsid w:val="006D15A4"/>
    <w:rsid w:val="007D62B8"/>
    <w:rsid w:val="00AB095E"/>
    <w:rsid w:val="00AF5124"/>
    <w:rsid w:val="00CB58CA"/>
    <w:rsid w:val="00D700AD"/>
    <w:rsid w:val="00DA12CB"/>
    <w:rsid w:val="00DF2BC9"/>
    <w:rsid w:val="00E2008A"/>
    <w:rsid w:val="00FB65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6064"/>
  <w15:docId w15:val="{7A4E9C5A-68C4-44A6-B900-CBC37AAC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spacing w:before="280" w:after="110"/>
      <w:outlineLvl w:val="0"/>
    </w:pPr>
    <w:rPr>
      <w:b/>
      <w:bCs/>
      <w:color w:val="1F3864"/>
      <w:sz w:val="25"/>
      <w:szCs w:val="25"/>
    </w:rPr>
  </w:style>
  <w:style w:type="paragraph" w:styleId="Ttulo2">
    <w:name w:val="heading 2"/>
    <w:qFormat/>
    <w:pPr>
      <w:spacing w:before="200" w:after="90"/>
      <w:outlineLvl w:val="1"/>
    </w:pPr>
    <w:rPr>
      <w:b/>
      <w:bCs/>
      <w:color w:val="2E5C9A"/>
      <w:sz w:val="22"/>
      <w:szCs w:val="22"/>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customStyle="1" w:styleId="Tabladecuadrcula4-nfasis11">
    <w:name w:val="Tabla de cuadrícula 4 - Énfasis 11"/>
    <w:basedOn w:val="Tablanormal"/>
    <w:next w:val="Tablaconcuadrcula4-nfasis1"/>
    <w:uiPriority w:val="49"/>
    <w:rsid w:val="00AF5124"/>
    <w:rPr>
      <w:rFonts w:ascii="Segoe UI" w:eastAsia="Segoe UI" w:hAnsi="Segoe UI" w:cs="Times New Roman"/>
      <w:sz w:val="22"/>
      <w:szCs w:val="22"/>
      <w:lang w:val="es-ES"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concuadrcula4-nfasis1">
    <w:name w:val="Grid Table 4 Accent 1"/>
    <w:basedOn w:val="Tablanormal"/>
    <w:uiPriority w:val="49"/>
    <w:rsid w:val="00AF512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5">
    <w:name w:val="Grid Table 4 Accent 5"/>
    <w:basedOn w:val="Tablanormal"/>
    <w:uiPriority w:val="49"/>
    <w:rsid w:val="006431C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8957</Words>
  <Characters>51061</Characters>
  <Application>Microsoft Office Word</Application>
  <DocSecurity>0</DocSecurity>
  <Lines>425</Lines>
  <Paragraphs>119</Paragraphs>
  <ScaleCrop>false</ScaleCrop>
  <HeadingPairs>
    <vt:vector size="2" baseType="variant">
      <vt:variant>
        <vt:lpstr>Título</vt:lpstr>
      </vt:variant>
      <vt:variant>
        <vt:i4>1</vt:i4>
      </vt:variant>
    </vt:vector>
  </HeadingPairs>
  <TitlesOfParts>
    <vt:vector size="1" baseType="lpstr">
      <vt:lpstr>Reporte FIME - Eventos Nova - Unidad 3</vt:lpstr>
    </vt:vector>
  </TitlesOfParts>
  <Company/>
  <LinksUpToDate>false</LinksUpToDate>
  <CharactersWithSpaces>59899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FIME - Eventos Nova - Unidad 3</dc:title>
  <dc:subject/>
  <dc:creator>Equipo 16</dc:creator>
  <cp:keywords/>
  <dc:description/>
  <cp:lastModifiedBy>Lesly Adamaris Cotlame Nieto</cp:lastModifiedBy>
  <cp:revision>4</cp:revision>
  <cp:lastPrinted>2026-10-15T02:47:00Z</cp:lastPrinted>
  <dcterms:created xsi:type="dcterms:W3CDTF">2026-10-13T10:49:00Z</dcterms:created>
  <dcterms:modified xsi:type="dcterms:W3CDTF">2026-10-15T02:50:00Z</dcterms:modified>
</cp:coreProperties>
</file>