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6451E0" w14:textId="77777777" w:rsidR="0007279D" w:rsidRDefault="0007279D">
      <w:pPr>
        <w:rPr>
          <w:rFonts w:ascii="Calibri" w:eastAsia="Calibri" w:hAnsi="Calibri" w:cs="Calibri"/>
          <w:b/>
        </w:rPr>
      </w:pPr>
      <w:bookmarkStart w:id="0" w:name="_GoBack"/>
      <w:bookmarkEnd w:id="0"/>
    </w:p>
    <w:tbl>
      <w:tblPr>
        <w:tblStyle w:val="ae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7950"/>
      </w:tblGrid>
      <w:tr w:rsidR="0007279D" w14:paraId="2C8A5884" w14:textId="77777777">
        <w:trPr>
          <w:trHeight w:val="420"/>
        </w:trPr>
        <w:tc>
          <w:tcPr>
            <w:tcW w:w="1080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C149" w14:textId="77777777" w:rsidR="0007279D" w:rsidRDefault="00C25A8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TJURASSIC Challenge </w:t>
            </w:r>
          </w:p>
          <w:p w14:paraId="01F4EF3B" w14:textId="77777777" w:rsidR="0007279D" w:rsidRDefault="00C25A8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homas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J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efferson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ltimate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esident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ssistant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uper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elf-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mprovement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&amp;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are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Challenge</w:t>
            </w:r>
          </w:p>
        </w:tc>
      </w:tr>
      <w:tr w:rsidR="0007279D" w14:paraId="374602D9" w14:textId="77777777">
        <w:tc>
          <w:tcPr>
            <w:tcW w:w="28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8EA1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When did this strategy occur?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9CB2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February 12 - March 1</w:t>
            </w:r>
          </w:p>
        </w:tc>
      </w:tr>
      <w:tr w:rsidR="0007279D" w14:paraId="3CBCBF29" w14:textId="77777777">
        <w:tc>
          <w:tcPr>
            <w:tcW w:w="28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22CA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Intended Learning Outcomes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5EB2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Student-staff will be able to identify several ways to practice regular self-care throughout the school year. Student-staff will be able to list several ways they practice regular self-care. Student-staff will be able to implement self-care strategies to r</w:t>
            </w:r>
            <w:r>
              <w:rPr>
                <w:rFonts w:ascii="Calibri" w:eastAsia="Calibri" w:hAnsi="Calibri" w:cs="Calibri"/>
              </w:rPr>
              <w:t xml:space="preserve">educe stress, increase sense of contentment, and improve physical health. </w:t>
            </w:r>
          </w:p>
        </w:tc>
      </w:tr>
      <w:tr w:rsidR="0007279D" w14:paraId="440C5A52" w14:textId="77777777">
        <w:tc>
          <w:tcPr>
            <w:tcW w:w="28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6256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Qualitative Insights </w:t>
            </w:r>
          </w:p>
          <w:p w14:paraId="4D0F39EF" w14:textId="77777777" w:rsidR="0007279D" w:rsidRDefault="00C25A89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How was this effective?</w:t>
            </w:r>
          </w:p>
          <w:p w14:paraId="5C2E649B" w14:textId="77777777" w:rsidR="0007279D" w:rsidRDefault="00C25A89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How did you see this strategy impacting the student’s experience?</w:t>
            </w:r>
          </w:p>
          <w:p w14:paraId="7AD685E4" w14:textId="77777777" w:rsidR="0007279D" w:rsidRDefault="00C25A89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What trends/themes are apparent?</w:t>
            </w:r>
          </w:p>
          <w:p w14:paraId="12DB7823" w14:textId="77777777" w:rsidR="0007279D" w:rsidRDefault="00C25A89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Areas the RAs did well or need additional training?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9762" w14:textId="77777777" w:rsidR="0007279D" w:rsidRDefault="00C25A8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strategy was effective at encouraging student-staff to be more intentional in identifying and implementing techniques to practice self-care. This is evident from one-on-one conversations. It is likel</w:t>
            </w:r>
            <w:r>
              <w:rPr>
                <w:rFonts w:ascii="Calibri" w:eastAsia="Calibri" w:hAnsi="Calibri" w:cs="Calibri"/>
              </w:rPr>
              <w:t>y that this also would have been reflected in stress levels reported in monthly community assessments (these were cancelled due to COVID-19).</w:t>
            </w:r>
          </w:p>
          <w:p w14:paraId="7A6834B5" w14:textId="77777777" w:rsidR="0007279D" w:rsidRDefault="00C25A8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student-staff reported that they had tried new strategies to practice self-care (e.g., meditation, regular ex</w:t>
            </w:r>
            <w:r>
              <w:rPr>
                <w:rFonts w:ascii="Calibri" w:eastAsia="Calibri" w:hAnsi="Calibri" w:cs="Calibri"/>
              </w:rPr>
              <w:t>ercise, healthier meal choices, etc.). Student-staff also reported that they had encouraged (or been encouraged by) other staff members to implement the self-care strategies outlined in the TJURASSIC Challenge. Student-staff reported positive outcomes: fee</w:t>
            </w:r>
            <w:r>
              <w:rPr>
                <w:rFonts w:ascii="Calibri" w:eastAsia="Calibri" w:hAnsi="Calibri" w:cs="Calibri"/>
              </w:rPr>
              <w:t xml:space="preserve">ling better physically, feeling happier, and feeling less stressed-out. </w:t>
            </w:r>
          </w:p>
          <w:p w14:paraId="0ABB071B" w14:textId="77777777" w:rsidR="0007279D" w:rsidRDefault="00C25A8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Student-staff face daily challenges associated with being a university student, young adult, and residential life staff member. The combination of these challenges causes stress which</w:t>
            </w:r>
            <w:r>
              <w:rPr>
                <w:rFonts w:ascii="Calibri" w:eastAsia="Calibri" w:hAnsi="Calibri" w:cs="Calibri"/>
              </w:rPr>
              <w:t xml:space="preserve">, if not properly managed, can lead to poor outcomes in their academics, personal life, health, and job performance. The TJURASSIC Challenge was a fun way of getting student-staff thinking about and motivated to find and practice new ways to manage stress </w:t>
            </w:r>
            <w:r>
              <w:rPr>
                <w:rFonts w:ascii="Calibri" w:eastAsia="Calibri" w:hAnsi="Calibri" w:cs="Calibri"/>
              </w:rPr>
              <w:t xml:space="preserve">and take care of their mental, physical, and academic well-being. </w:t>
            </w:r>
          </w:p>
        </w:tc>
      </w:tr>
      <w:tr w:rsidR="0007279D" w14:paraId="207F0D05" w14:textId="77777777">
        <w:tc>
          <w:tcPr>
            <w:tcW w:w="28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C884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How will you use this information to inform our practice?</w:t>
            </w:r>
          </w:p>
          <w:p w14:paraId="5EA649CA" w14:textId="77777777" w:rsidR="0007279D" w:rsidRDefault="00C25A89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How can you streamline this process?</w:t>
            </w:r>
          </w:p>
          <w:p w14:paraId="2C69C26B" w14:textId="77777777" w:rsidR="0007279D" w:rsidRDefault="00C25A89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What adjustments are needed when it comes to supervision/implementing?</w:t>
            </w:r>
          </w:p>
          <w:p w14:paraId="70545C42" w14:textId="77777777" w:rsidR="0007279D" w:rsidRDefault="00C25A89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Is there additional training needed for this strategy? If so, what would be helpful?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4490" w14:textId="77777777" w:rsidR="0007279D" w:rsidRDefault="00C25A8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think it would be beneficial to include a reflection element into the TJURASSIC Challenge. Also, a</w:t>
            </w:r>
            <w:r>
              <w:rPr>
                <w:rFonts w:ascii="Calibri" w:eastAsia="Calibri" w:hAnsi="Calibri" w:cs="Calibri"/>
              </w:rPr>
              <w:t xml:space="preserve"> follow-up activity/exercise later in the semester to assess if student-staff are still practicing/maintaining any strategies they learned or tried during the TJURASSIC Challenge. </w:t>
            </w:r>
          </w:p>
          <w:p w14:paraId="74A73A6D" w14:textId="77777777" w:rsidR="0007279D" w:rsidRDefault="00C25A8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 order for</w:t>
            </w:r>
            <w:proofErr w:type="gramEnd"/>
            <w:r>
              <w:rPr>
                <w:rFonts w:ascii="Calibri" w:eastAsia="Calibri" w:hAnsi="Calibri" w:cs="Calibri"/>
              </w:rPr>
              <w:t xml:space="preserve"> the strategy to be most effective, it is important to regularl</w:t>
            </w:r>
            <w:r>
              <w:rPr>
                <w:rFonts w:ascii="Calibri" w:eastAsia="Calibri" w:hAnsi="Calibri" w:cs="Calibri"/>
              </w:rPr>
              <w:t>y check-in and follow-up with student-staff throughout the TJURASSIC Challenge. This includes asking direct questions in one-on-ones, having group discussions at staff meetings, and directing senior mentors to touch on these topics in mentor group meetings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4E795A03" w14:textId="77777777" w:rsidR="0007279D" w:rsidRDefault="00C25A8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would be interesting to do a pre- and post-assessment of stress, happiness, etc. before and after the TJURASSIC Challenge to get an idea of how effective it was for everyone</w:t>
            </w:r>
          </w:p>
        </w:tc>
      </w:tr>
    </w:tbl>
    <w:p w14:paraId="452329D2" w14:textId="77777777" w:rsidR="0007279D" w:rsidRDefault="000727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71082F2F" w14:textId="77777777" w:rsidR="0007279D" w:rsidRDefault="000727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62070C5E" w14:textId="77777777" w:rsidR="0007279D" w:rsidRDefault="000727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43725A60" w14:textId="77777777" w:rsidR="0007279D" w:rsidRDefault="0007279D">
      <w:pPr>
        <w:rPr>
          <w:rFonts w:ascii="Calibri" w:eastAsia="Calibri" w:hAnsi="Calibri" w:cs="Calibri"/>
          <w:b/>
        </w:rPr>
      </w:pPr>
    </w:p>
    <w:tbl>
      <w:tblPr>
        <w:tblStyle w:val="af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7950"/>
      </w:tblGrid>
      <w:tr w:rsidR="0007279D" w14:paraId="043E6A88" w14:textId="77777777">
        <w:trPr>
          <w:trHeight w:val="420"/>
        </w:trPr>
        <w:tc>
          <w:tcPr>
            <w:tcW w:w="1080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E1C1" w14:textId="77777777" w:rsidR="0007279D" w:rsidRDefault="00C25A8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*INSERT SPECIFIC PROGRAM/STRATEGY HERE*</w:t>
            </w:r>
          </w:p>
        </w:tc>
      </w:tr>
      <w:tr w:rsidR="0007279D" w14:paraId="6DA24843" w14:textId="77777777">
        <w:tc>
          <w:tcPr>
            <w:tcW w:w="28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8678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When did this strategy occur?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AA18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Chris</w:t>
            </w:r>
          </w:p>
        </w:tc>
      </w:tr>
      <w:tr w:rsidR="0007279D" w14:paraId="1CAE3F98" w14:textId="77777777">
        <w:tc>
          <w:tcPr>
            <w:tcW w:w="28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219D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Intended Learning Outcomes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2D78" w14:textId="77777777" w:rsidR="0007279D" w:rsidRDefault="0007279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7279D" w14:paraId="1816CCC7" w14:textId="77777777">
        <w:tc>
          <w:tcPr>
            <w:tcW w:w="28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6C61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Qualitative Insights </w:t>
            </w:r>
          </w:p>
          <w:p w14:paraId="67ACADFC" w14:textId="77777777" w:rsidR="0007279D" w:rsidRDefault="00C25A89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How was this effective?</w:t>
            </w:r>
          </w:p>
          <w:p w14:paraId="669B9A33" w14:textId="77777777" w:rsidR="0007279D" w:rsidRDefault="00C25A89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How did you see this strategy impacting the student’s experience?</w:t>
            </w:r>
          </w:p>
          <w:p w14:paraId="7A7787D1" w14:textId="77777777" w:rsidR="0007279D" w:rsidRDefault="00C25A89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What trends/themes are apparent?</w:t>
            </w:r>
          </w:p>
          <w:p w14:paraId="56A24F57" w14:textId="77777777" w:rsidR="0007279D" w:rsidRDefault="00C25A89">
            <w:pPr>
              <w:widowControl w:val="0"/>
              <w:numPr>
                <w:ilvl w:val="0"/>
                <w:numId w:val="1"/>
              </w:numPr>
              <w:spacing w:line="240" w:lineRule="auto"/>
              <w:ind w:left="27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Areas the RAs did well or need additional training?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A488" w14:textId="77777777" w:rsidR="0007279D" w:rsidRDefault="0007279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7279D" w14:paraId="1084700C" w14:textId="77777777">
        <w:tc>
          <w:tcPr>
            <w:tcW w:w="285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99D4" w14:textId="77777777" w:rsidR="0007279D" w:rsidRDefault="00C25A8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How will you use this information to inform our practice?</w:t>
            </w:r>
          </w:p>
          <w:p w14:paraId="3AAC21F3" w14:textId="77777777" w:rsidR="0007279D" w:rsidRDefault="00C25A89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How can you streamline this process?</w:t>
            </w:r>
          </w:p>
          <w:p w14:paraId="789F2923" w14:textId="77777777" w:rsidR="0007279D" w:rsidRDefault="00C25A89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What adj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ustments are needed when it comes to supervision/implementing?</w:t>
            </w:r>
          </w:p>
          <w:p w14:paraId="0CFA16F5" w14:textId="77777777" w:rsidR="0007279D" w:rsidRDefault="00C25A89">
            <w:pPr>
              <w:widowControl w:val="0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Is there additional training needed for this strategy? If so, what would be helpful?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7690" w14:textId="77777777" w:rsidR="0007279D" w:rsidRDefault="0007279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3CB280B" w14:textId="77777777" w:rsidR="0007279D" w:rsidRDefault="0007279D">
      <w:pPr>
        <w:widowControl w:val="0"/>
        <w:rPr>
          <w:rFonts w:ascii="Calibri" w:eastAsia="Calibri" w:hAnsi="Calibri" w:cs="Calibri"/>
        </w:rPr>
      </w:pPr>
    </w:p>
    <w:sectPr w:rsidR="0007279D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EA36B" w14:textId="77777777" w:rsidR="00C25A89" w:rsidRDefault="00C25A89">
      <w:pPr>
        <w:spacing w:line="240" w:lineRule="auto"/>
      </w:pPr>
      <w:r>
        <w:separator/>
      </w:r>
    </w:p>
  </w:endnote>
  <w:endnote w:type="continuationSeparator" w:id="0">
    <w:p w14:paraId="3C720462" w14:textId="77777777" w:rsidR="00C25A89" w:rsidRDefault="00C25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B2BFE" w14:textId="77777777" w:rsidR="00C25A89" w:rsidRDefault="00C25A89">
      <w:pPr>
        <w:spacing w:line="240" w:lineRule="auto"/>
      </w:pPr>
      <w:r>
        <w:separator/>
      </w:r>
    </w:p>
  </w:footnote>
  <w:footnote w:type="continuationSeparator" w:id="0">
    <w:p w14:paraId="46985D4F" w14:textId="77777777" w:rsidR="00C25A89" w:rsidRDefault="00C25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6099" w14:textId="77777777" w:rsidR="0007279D" w:rsidRDefault="00C25A89">
    <w:pPr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b/>
      </w:rPr>
      <w:t xml:space="preserve">Thomas Jefferson Hall Assessment Summary </w:t>
    </w:r>
    <w:r>
      <w:rPr>
        <w:rFonts w:ascii="Calibri" w:eastAsia="Calibri" w:hAnsi="Calibri" w:cs="Calibri"/>
      </w:rPr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4C69"/>
    <w:multiLevelType w:val="multilevel"/>
    <w:tmpl w:val="1DE67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D5C8C"/>
    <w:multiLevelType w:val="multilevel"/>
    <w:tmpl w:val="4FF86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665B16"/>
    <w:multiLevelType w:val="multilevel"/>
    <w:tmpl w:val="43F80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306BC0"/>
    <w:multiLevelType w:val="multilevel"/>
    <w:tmpl w:val="FE9A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941500"/>
    <w:multiLevelType w:val="multilevel"/>
    <w:tmpl w:val="9B1AB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9E4352"/>
    <w:multiLevelType w:val="multilevel"/>
    <w:tmpl w:val="CF9E5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710A08"/>
    <w:multiLevelType w:val="multilevel"/>
    <w:tmpl w:val="F2A0A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43611E"/>
    <w:multiLevelType w:val="multilevel"/>
    <w:tmpl w:val="EC10B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183B44"/>
    <w:multiLevelType w:val="multilevel"/>
    <w:tmpl w:val="A62EA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9D"/>
    <w:rsid w:val="0007279D"/>
    <w:rsid w:val="008F3A60"/>
    <w:rsid w:val="00C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4FB3"/>
  <w15:docId w15:val="{E06009CA-F180-44FF-A4A1-E0C10D2A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qYQhKjFfCzdLpZAHjdVxPI+Pg==">AMUW2mUsZFxu5cH9BAmXPUKr4b7+Spte1ZsLv6x1N2oucDZdq5puMix7jT2NgBojb4/A86wTiWF+2boMe/VEchWsOoI+m+Z27JgT0Cer7ZMmJlZmEWT54xM=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Cattron</dc:creator>
  <cp:lastModifiedBy>Christopher Cattron</cp:lastModifiedBy>
  <cp:revision>2</cp:revision>
  <dcterms:created xsi:type="dcterms:W3CDTF">2020-08-26T05:07:00Z</dcterms:created>
  <dcterms:modified xsi:type="dcterms:W3CDTF">2020-08-26T05:07:00Z</dcterms:modified>
</cp:coreProperties>
</file>