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2410C"/>
        </w:rPr>
        <w:t>Incident: Minor Burn at Fry Station</w:t>
      </w:r>
    </w:p>
    <w:p>
      <w:r>
        <w:rPr>
          <w:b w:val="0"/>
          <w:i w:val="0"/>
        </w:rPr>
        <w:t>Document owner: Priya Nair (Sous Chef, Grill)</w:t>
      </w:r>
    </w:p>
    <w:p>
      <w:pPr>
        <w:pStyle w:val="Heading2"/>
      </w:pPr>
      <w:r>
        <w:rPr>
          <w:color w:val="C2410C"/>
        </w:rPr>
        <w:t>1) Incident Summary (verbatim)</w:t>
      </w:r>
    </w:p>
    <w:p>
      <w:r>
        <w:rPr>
          <w:b w:val="0"/>
          <w:i w:val="0"/>
        </w:rPr>
        <w:t>Incident Report — Minor Burn at Fry Station</w:t>
      </w:r>
    </w:p>
    <w:p>
      <w:r>
        <w:rPr>
          <w:b w:val="0"/>
          <w:i w:val="0"/>
        </w:rPr>
        <w:t>A line cook was splashed on the forearm while carrying a stockpot of hot oil to the disposal drum. First aid (cool running water, 20 min) was given; no lost time.</w:t>
      </w:r>
    </w:p>
    <w:p>
      <w:r>
        <w:rPr>
          <w:b w:val="0"/>
          <w:i w:val="0"/>
        </w:rPr>
        <w:t>Root cause: no oil caddy; oil was changed during service. Fix: oil caddy purchased; oil changes moved to after close (see SOP: Fryer Oil Filtering &amp; Change Schedule).</w:t>
      </w:r>
    </w:p>
    <w:p>
      <w:pPr>
        <w:pStyle w:val="Heading2"/>
      </w:pPr>
      <w:r>
        <w:rPr>
          <w:color w:val="C2410C"/>
        </w:rPr>
        <w:t>2) Scope and intent</w:t>
      </w:r>
    </w:p>
    <w:p>
      <w:pPr>
        <w:pStyle w:val="ListBullet"/>
      </w:pPr>
      <w:r>
        <w:rPr>
          <w:b w:val="0"/>
          <w:i w:val="0"/>
        </w:rPr>
        <w:t>Applies to Grill station crew handling fryers and hot oil movement to the disposal drum.</w:t>
      </w:r>
    </w:p>
    <w:p>
      <w:pPr>
        <w:pStyle w:val="ListBullet"/>
      </w:pPr>
      <w:r>
        <w:rPr>
          <w:b w:val="0"/>
          <w:i w:val="0"/>
        </w:rPr>
        <w:t>Goal: prevent hot oil burns and splashes; enforce after-close oil change and safe transport using the oil caddy.</w:t>
      </w:r>
    </w:p>
    <w:p>
      <w:pPr>
        <w:pStyle w:val="ListBullet"/>
      </w:pPr>
      <w:r>
        <w:rPr>
          <w:b w:val="0"/>
          <w:i w:val="0"/>
        </w:rPr>
        <w:t>Use this document during service line-up, close, and any time moving fryer oil.</w:t>
      </w:r>
    </w:p>
    <w:p>
      <w:pPr>
        <w:pStyle w:val="Heading2"/>
      </w:pPr>
      <w:r>
        <w:rPr>
          <w:color w:val="C2410C"/>
        </w:rPr>
        <w:t>3) Immediate response checklist (for any hot oil splash)</w:t>
      </w:r>
    </w:p>
    <w:p>
      <w:r>
        <w:rPr>
          <w:b w:val="0"/>
          <w:i w:val="0"/>
        </w:rPr>
        <w:t>1) Shout “Hot oil burn” and stop movement; set pot/caddy down safely. 2) Remove the injured person from the hot zone. 3) Cool the burn: cool running water, 20 min. Do not use ice, butter, ointments, or compressing wraps. 4) Remove tight items near burn (rings, watches) if easy and safe. 5) Cover with a clean, dry, non‑stick dressing. 6) Supervisor documents incident and assesses duty status. No lost time if fit for duty; restrict if mobility or pain affects safety. 7) If burn involves face, genitals, deep tissue, or covers larger than a palm, call manager immediately for elevated care.</w:t>
      </w:r>
    </w:p>
    <w:p>
      <w:pPr>
        <w:pStyle w:val="Heading2"/>
      </w:pPr>
      <w:r>
        <w:rPr>
          <w:color w:val="C2410C"/>
        </w:rPr>
        <w:t>4) Root cause and corrective actions (expanded)</w:t>
      </w:r>
    </w:p>
    <w:p>
      <w:pPr>
        <w:pStyle w:val="ListBullet"/>
      </w:pPr>
      <w:r>
        <w:rPr>
          <w:b w:val="0"/>
          <w:i w:val="0"/>
        </w:rPr>
        <w:t>Primary cause: no oil caddy was available; oil change was done during service when floors are busier, paths are obstructed, and crew are rushed.</w:t>
      </w:r>
    </w:p>
    <w:p>
      <w:pPr>
        <w:pStyle w:val="ListBullet"/>
      </w:pPr>
      <w:r>
        <w:rPr>
          <w:b w:val="0"/>
          <w:i w:val="0"/>
        </w:rPr>
        <w:t>Corrective actions in place:</w:t>
      </w:r>
    </w:p>
    <w:p>
      <w:pPr>
        <w:pStyle w:val="ListBullet2"/>
      </w:pPr>
      <w:r>
        <w:rPr>
          <w:b w:val="0"/>
          <w:i w:val="0"/>
        </w:rPr>
        <w:t>Oil caddy purchased.</w:t>
      </w:r>
    </w:p>
    <w:p>
      <w:pPr>
        <w:pStyle w:val="ListBullet2"/>
      </w:pPr>
      <w:r>
        <w:rPr>
          <w:b w:val="0"/>
          <w:i w:val="0"/>
        </w:rPr>
        <w:t>Oil changes moved to after close (see SOP: Fryer Oil Filtering &amp; Change Schedule).</w:t>
      </w:r>
    </w:p>
    <w:p>
      <w:pPr>
        <w:pStyle w:val="ListBullet"/>
      </w:pPr>
      <w:r>
        <w:rPr>
          <w:b w:val="0"/>
          <w:i w:val="0"/>
        </w:rPr>
        <w:t>Additional controls:</w:t>
      </w:r>
    </w:p>
    <w:p>
      <w:pPr>
        <w:pStyle w:val="ListBullet2"/>
      </w:pPr>
      <w:r>
        <w:rPr>
          <w:b w:val="0"/>
          <w:i w:val="0"/>
        </w:rPr>
        <w:t>No moving hot oil in stockpots. Use only the oil caddy with lid and secure fittings.</w:t>
      </w:r>
    </w:p>
    <w:p>
      <w:pPr>
        <w:pStyle w:val="ListBullet2"/>
      </w:pPr>
      <w:r>
        <w:rPr>
          <w:b w:val="0"/>
          <w:i w:val="0"/>
        </w:rPr>
        <w:t>Enforce a clear, dry path to the disposal drum before any move.</w:t>
      </w:r>
    </w:p>
    <w:p>
      <w:pPr>
        <w:pStyle w:val="ListBullet2"/>
      </w:pPr>
      <w:r>
        <w:rPr>
          <w:b w:val="0"/>
          <w:i w:val="0"/>
        </w:rPr>
        <w:t>Designate one trained operator and one spotter.</w:t>
      </w:r>
    </w:p>
    <w:p>
      <w:pPr>
        <w:pStyle w:val="Heading2"/>
      </w:pPr>
      <w:r>
        <w:rPr>
          <w:color w:val="C2410C"/>
        </w:rPr>
        <w:t>5) Oil handling procedure — after close only</w:t>
      </w:r>
    </w:p>
    <w:p>
      <w:r>
        <w:rPr>
          <w:b w:val="0"/>
          <w:i w:val="0"/>
        </w:rPr>
        <w:t>1) Verify guests are out, expo closed, and floor mopped dry along the route. 2) Power fryers OFF. Allow oil to cool to 150–170°F before pumping/draining. 3) Inspect oil caddy: tires inflated, lid/gasket seated, valve closed, handle secure. Log pre-check. 4) Don PPE: long sleeves, cut-resistant steam-rated gloves, apron, non-slip shoes, eye protection. 5) Connect caddy to fryer drain or pump as designed. Never overfill caddy; keep below fill line (at least 2 in headspace). 6) Move at walking pace with two hands on handle; spotter walks ahead, calling corners and guarding doors. 7) At disposal drum, set brakes, confirm drum lid open and funnel in place. Open caddy valve slowly to decant. Close valve fully before moving. 8) Return caddy, wipe drips, and post-clean floor with degreaser. Sign off log.</w:t>
      </w:r>
    </w:p>
    <w:p>
      <w:pPr>
        <w:pStyle w:val="Heading2"/>
      </w:pPr>
      <w:r>
        <w:rPr>
          <w:color w:val="C2410C"/>
        </w:rPr>
        <w:t>6) Pre-move safety checklist (call-and-response)</w:t>
      </w:r>
    </w:p>
    <w:p>
      <w:pPr>
        <w:pStyle w:val="ListBullet"/>
      </w:pPr>
      <w:r>
        <w:rPr>
          <w:b w:val="0"/>
          <w:i w:val="0"/>
        </w:rPr>
        <w:t>Path to disposal drum is dry, lit, and clear of mats, trash, and carts.</w:t>
      </w:r>
    </w:p>
    <w:p>
      <w:pPr>
        <w:pStyle w:val="ListBullet"/>
      </w:pPr>
      <w:r>
        <w:rPr>
          <w:b w:val="0"/>
          <w:i w:val="0"/>
        </w:rPr>
        <w:t>Doors along route are propped or spotter is stationed.</w:t>
      </w:r>
    </w:p>
    <w:p>
      <w:pPr>
        <w:pStyle w:val="ListBullet"/>
      </w:pPr>
      <w:r>
        <w:rPr>
          <w:b w:val="0"/>
          <w:i w:val="0"/>
        </w:rPr>
        <w:t>Caddy tires roll free; brakes work.</w:t>
      </w:r>
    </w:p>
    <w:p>
      <w:pPr>
        <w:pStyle w:val="ListBullet"/>
      </w:pPr>
      <w:r>
        <w:rPr>
          <w:b w:val="0"/>
          <w:i w:val="0"/>
        </w:rPr>
        <w:t>Fryer drain valve closes fully; no leaks.</w:t>
      </w:r>
    </w:p>
    <w:p>
      <w:pPr>
        <w:pStyle w:val="ListBullet"/>
      </w:pPr>
      <w:r>
        <w:rPr>
          <w:b w:val="0"/>
          <w:i w:val="0"/>
        </w:rPr>
        <w:t>Communication clear: “Moving hot oil,” response “All clear.”</w:t>
      </w:r>
    </w:p>
    <w:p>
      <w:pPr>
        <w:pStyle w:val="ListBullet"/>
      </w:pPr>
      <w:r>
        <w:rPr>
          <w:b w:val="0"/>
          <w:i w:val="0"/>
        </w:rPr>
        <w:t>Team lift only if handling any component over 20 lb.</w:t>
      </w:r>
    </w:p>
    <w:p>
      <w:pPr>
        <w:pStyle w:val="Heading2"/>
      </w:pPr>
      <w:r>
        <w:rPr>
          <w:color w:val="C2410C"/>
        </w:rPr>
        <w:t>7) What to do if things go wrong</w:t>
      </w:r>
    </w:p>
    <w:p>
      <w:pPr>
        <w:pStyle w:val="ListBullet"/>
      </w:pPr>
      <w:r>
        <w:rPr>
          <w:b w:val="0"/>
          <w:i w:val="0"/>
        </w:rPr>
        <w:t>If caddy is unavailable or faulty:</w:t>
      </w:r>
    </w:p>
    <w:p>
      <w:pPr>
        <w:pStyle w:val="ListBullet2"/>
      </w:pPr>
      <w:r>
        <w:rPr>
          <w:b w:val="0"/>
          <w:i w:val="0"/>
        </w:rPr>
        <w:t>Do not move oil in a stockpot. Tag caddy “Out of Service,” notify Sous, delay change until caddy is repaired.</w:t>
      </w:r>
    </w:p>
    <w:p>
      <w:pPr>
        <w:pStyle w:val="ListBullet"/>
      </w:pPr>
      <w:r>
        <w:rPr>
          <w:b w:val="0"/>
          <w:i w:val="0"/>
        </w:rPr>
        <w:t>If oil temperature is above 170°F:</w:t>
      </w:r>
    </w:p>
    <w:p>
      <w:pPr>
        <w:pStyle w:val="ListBullet2"/>
      </w:pPr>
      <w:r>
        <w:rPr>
          <w:b w:val="0"/>
          <w:i w:val="0"/>
        </w:rPr>
        <w:t>Wait. Recheck temp in 5–10 min. Never add water or ice to cool.</w:t>
      </w:r>
    </w:p>
    <w:p>
      <w:pPr>
        <w:pStyle w:val="ListBullet"/>
      </w:pPr>
      <w:r>
        <w:rPr>
          <w:b w:val="0"/>
          <w:i w:val="0"/>
        </w:rPr>
        <w:t>If spill occurs:</w:t>
      </w:r>
    </w:p>
    <w:p>
      <w:pPr>
        <w:pStyle w:val="ListBullet2"/>
      </w:pPr>
      <w:r>
        <w:rPr>
          <w:b w:val="0"/>
          <w:i w:val="0"/>
        </w:rPr>
        <w:t>Stop foot traffic. Barricade with wet floor signs. Apply oil-dry/absorbent, sweep, then degrease and mop. Recheck traction before reopening path.</w:t>
      </w:r>
    </w:p>
    <w:p>
      <w:pPr>
        <w:pStyle w:val="ListBullet"/>
      </w:pPr>
      <w:r>
        <w:rPr>
          <w:b w:val="0"/>
          <w:i w:val="0"/>
        </w:rPr>
        <w:t>If minor burn occurs:</w:t>
      </w:r>
    </w:p>
    <w:p>
      <w:pPr>
        <w:pStyle w:val="ListBullet2"/>
      </w:pPr>
      <w:r>
        <w:rPr>
          <w:b w:val="0"/>
          <w:i w:val="0"/>
        </w:rPr>
        <w:t>Follow Immediate response checklist above.</w:t>
      </w:r>
    </w:p>
    <w:p>
      <w:pPr>
        <w:pStyle w:val="ListBullet"/>
      </w:pPr>
      <w:r>
        <w:rPr>
          <w:b w:val="0"/>
          <w:i w:val="0"/>
        </w:rPr>
        <w:t>If pump clogs:</w:t>
      </w:r>
    </w:p>
    <w:p>
      <w:pPr>
        <w:pStyle w:val="ListBullet2"/>
      </w:pPr>
      <w:r>
        <w:rPr>
          <w:b w:val="0"/>
          <w:i w:val="0"/>
        </w:rPr>
        <w:t>Power off, let settle 5 min, clear crumb trap with tools (no hands), and retry. If still clogged, postpone and report.</w:t>
      </w:r>
    </w:p>
    <w:p>
      <w:pPr>
        <w:pStyle w:val="Heading2"/>
      </w:pPr>
      <w:r>
        <w:rPr>
          <w:color w:val="C2410C"/>
        </w:rPr>
        <w:t>8) Training and accountability</w:t>
      </w:r>
    </w:p>
    <w:p>
      <w:pPr>
        <w:pStyle w:val="ListBullet"/>
      </w:pPr>
      <w:r>
        <w:rPr>
          <w:b w:val="0"/>
          <w:i w:val="0"/>
        </w:rPr>
        <w:t>Only trained Grill crew may operate the oil caddy. New staff shadow twice, then perform once under supervision before sign-off.</w:t>
      </w:r>
    </w:p>
    <w:p>
      <w:pPr>
        <w:pStyle w:val="ListBullet"/>
      </w:pPr>
      <w:r>
        <w:rPr>
          <w:b w:val="0"/>
          <w:i w:val="0"/>
        </w:rPr>
        <w:t>Supervisors verify after-close timing and log completion each night.</w:t>
      </w:r>
    </w:p>
    <w:p>
      <w:pPr>
        <w:pStyle w:val="ListBullet"/>
      </w:pPr>
      <w:r>
        <w:rPr>
          <w:b w:val="0"/>
          <w:i w:val="0"/>
        </w:rPr>
        <w:t>Any deviation (service-time oil move, stockpot transport) is a stop-work and retrain event.</w:t>
      </w:r>
    </w:p>
    <w:p>
      <w:pPr>
        <w:pStyle w:val="Heading2"/>
      </w:pPr>
      <w:r>
        <w:rPr>
          <w:color w:val="C2410C"/>
        </w:rPr>
        <w:t>9) Hot oil handling reference</w:t>
      </w:r>
    </w:p>
    <w:p>
      <w:pPr>
        <w:pStyle w:val="ListBullet"/>
      </w:pPr>
      <w:r>
        <w:rPr>
          <w:b w:val="0"/>
          <w:i w:val="0"/>
        </w:rPr>
        <w:t>Targets, limits, PPE, and roles:</w:t>
      </w:r>
    </w:p>
    <w:tbl>
      <w:tblPr>
        <w:tblStyle w:val="LightGrid-Accent2"/>
        <w:tblW w:type="auto" w:w="0"/>
        <w:tblLook w:firstColumn="1" w:firstRow="1" w:lastColumn="0" w:lastRow="0" w:noHBand="0" w:noVBand="1" w:val="04A0"/>
      </w:tblPr>
      <w:tblGrid>
        <w:gridCol w:w="2880"/>
        <w:gridCol w:w="2880"/>
        <w:gridCol w:w="2880"/>
      </w:tblGrid>
      <w:tr>
        <w:tc>
          <w:tcPr>
            <w:tcW w:type="dxa" w:w="2880"/>
          </w:tcPr>
          <w:p>
            <w:r/>
            <w:r>
              <w:rPr>
                <w:b/>
                <w:i w:val="0"/>
              </w:rPr>
              <w:t>Item</w:t>
            </w:r>
          </w:p>
        </w:tc>
        <w:tc>
          <w:tcPr>
            <w:tcW w:type="dxa" w:w="2880"/>
          </w:tcPr>
          <w:p>
            <w:r/>
            <w:r>
              <w:rPr>
                <w:b/>
                <w:i w:val="0"/>
              </w:rPr>
              <w:t>Target/Limit</w:t>
            </w:r>
          </w:p>
        </w:tc>
        <w:tc>
          <w:tcPr>
            <w:tcW w:type="dxa" w:w="2880"/>
          </w:tcPr>
          <w:p>
            <w:r/>
            <w:r>
              <w:rPr>
                <w:b/>
                <w:i w:val="0"/>
              </w:rPr>
              <w:t>Notes</w:t>
            </w:r>
          </w:p>
        </w:tc>
      </w:tr>
      <w:tr>
        <w:tc>
          <w:tcPr>
            <w:tcW w:type="dxa" w:w="2880"/>
          </w:tcPr>
          <w:p>
            <w:r/>
            <w:r>
              <w:rPr>
                <w:b w:val="0"/>
                <w:i w:val="0"/>
              </w:rPr>
              <w:t>Oil movement timing</w:t>
            </w:r>
          </w:p>
        </w:tc>
        <w:tc>
          <w:tcPr>
            <w:tcW w:type="dxa" w:w="2880"/>
          </w:tcPr>
          <w:p>
            <w:r/>
            <w:r>
              <w:rPr>
                <w:b w:val="0"/>
                <w:i w:val="0"/>
              </w:rPr>
              <w:t>After close only</w:t>
            </w:r>
          </w:p>
        </w:tc>
        <w:tc>
          <w:tcPr>
            <w:tcW w:type="dxa" w:w="2880"/>
          </w:tcPr>
          <w:p>
            <w:r/>
            <w:r>
              <w:rPr>
                <w:b w:val="0"/>
                <w:i w:val="0"/>
              </w:rPr>
              <w:t>Never during service</w:t>
            </w:r>
          </w:p>
        </w:tc>
      </w:tr>
      <w:tr>
        <w:tc>
          <w:tcPr>
            <w:tcW w:type="dxa" w:w="2880"/>
          </w:tcPr>
          <w:p>
            <w:r/>
            <w:r>
              <w:rPr>
                <w:b w:val="0"/>
                <w:i w:val="0"/>
              </w:rPr>
              <w:t>Oil temperature to move</w:t>
            </w:r>
          </w:p>
        </w:tc>
        <w:tc>
          <w:tcPr>
            <w:tcW w:type="dxa" w:w="2880"/>
          </w:tcPr>
          <w:p>
            <w:r/>
            <w:r>
              <w:rPr>
                <w:b w:val="0"/>
                <w:i w:val="0"/>
              </w:rPr>
              <w:t>150–170°F</w:t>
            </w:r>
          </w:p>
        </w:tc>
        <w:tc>
          <w:tcPr>
            <w:tcW w:type="dxa" w:w="2880"/>
          </w:tcPr>
          <w:p>
            <w:r/>
            <w:r>
              <w:rPr>
                <w:b w:val="0"/>
                <w:i w:val="0"/>
              </w:rPr>
              <w:t>Below active fry temps; reduces splash risk</w:t>
            </w:r>
          </w:p>
        </w:tc>
      </w:tr>
      <w:tr>
        <w:tc>
          <w:tcPr>
            <w:tcW w:type="dxa" w:w="2880"/>
          </w:tcPr>
          <w:p>
            <w:r/>
            <w:r>
              <w:rPr>
                <w:b w:val="0"/>
                <w:i w:val="0"/>
              </w:rPr>
              <w:t>Caddy fill level</w:t>
            </w:r>
          </w:p>
        </w:tc>
        <w:tc>
          <w:tcPr>
            <w:tcW w:type="dxa" w:w="2880"/>
          </w:tcPr>
          <w:p>
            <w:r/>
            <w:r>
              <w:rPr>
                <w:b w:val="0"/>
                <w:i w:val="0"/>
              </w:rPr>
              <w:t>Below fill line; ≥2 in headspace</w:t>
            </w:r>
          </w:p>
        </w:tc>
        <w:tc>
          <w:tcPr>
            <w:tcW w:type="dxa" w:w="2880"/>
          </w:tcPr>
          <w:p>
            <w:r/>
            <w:r>
              <w:rPr>
                <w:b w:val="0"/>
                <w:i w:val="0"/>
              </w:rPr>
              <w:t>Prevents slosh/splash</w:t>
            </w:r>
          </w:p>
        </w:tc>
      </w:tr>
      <w:tr>
        <w:tc>
          <w:tcPr>
            <w:tcW w:type="dxa" w:w="2880"/>
          </w:tcPr>
          <w:p>
            <w:r/>
            <w:r>
              <w:rPr>
                <w:b w:val="0"/>
                <w:i w:val="0"/>
              </w:rPr>
              <w:t>Walking speed</w:t>
            </w:r>
          </w:p>
        </w:tc>
        <w:tc>
          <w:tcPr>
            <w:tcW w:type="dxa" w:w="2880"/>
          </w:tcPr>
          <w:p>
            <w:r/>
            <w:r>
              <w:rPr>
                <w:b w:val="0"/>
                <w:i w:val="0"/>
              </w:rPr>
              <w:t>Normal walk, no running</w:t>
            </w:r>
          </w:p>
        </w:tc>
        <w:tc>
          <w:tcPr>
            <w:tcW w:type="dxa" w:w="2880"/>
          </w:tcPr>
          <w:p>
            <w:r/>
            <w:r>
              <w:rPr>
                <w:b w:val="0"/>
                <w:i w:val="0"/>
              </w:rPr>
              <w:t>Two hands on handle</w:t>
            </w:r>
          </w:p>
        </w:tc>
      </w:tr>
      <w:tr>
        <w:tc>
          <w:tcPr>
            <w:tcW w:type="dxa" w:w="2880"/>
          </w:tcPr>
          <w:p>
            <w:r/>
            <w:r>
              <w:rPr>
                <w:b w:val="0"/>
                <w:i w:val="0"/>
              </w:rPr>
              <w:t>Personnel</w:t>
            </w:r>
          </w:p>
        </w:tc>
        <w:tc>
          <w:tcPr>
            <w:tcW w:type="dxa" w:w="2880"/>
          </w:tcPr>
          <w:p>
            <w:r/>
            <w:r>
              <w:rPr>
                <w:b w:val="0"/>
                <w:i w:val="0"/>
              </w:rPr>
              <w:t>1 operator + 1 spotter</w:t>
            </w:r>
          </w:p>
        </w:tc>
        <w:tc>
          <w:tcPr>
            <w:tcW w:type="dxa" w:w="2880"/>
          </w:tcPr>
          <w:p>
            <w:r/>
            <w:r>
              <w:rPr>
                <w:b w:val="0"/>
                <w:i w:val="0"/>
              </w:rPr>
              <w:t>Communicate corners/doors</w:t>
            </w:r>
          </w:p>
        </w:tc>
      </w:tr>
      <w:tr>
        <w:tc>
          <w:tcPr>
            <w:tcW w:type="dxa" w:w="2880"/>
          </w:tcPr>
          <w:p>
            <w:r/>
            <w:r>
              <w:rPr>
                <w:b w:val="0"/>
                <w:i w:val="0"/>
              </w:rPr>
              <w:t>Required PPE</w:t>
            </w:r>
          </w:p>
        </w:tc>
        <w:tc>
          <w:tcPr>
            <w:tcW w:type="dxa" w:w="2880"/>
          </w:tcPr>
          <w:p>
            <w:r/>
            <w:r>
              <w:rPr>
                <w:b w:val="0"/>
                <w:i w:val="0"/>
              </w:rPr>
              <w:t>Long sleeves, steam-rated gloves, apron, eye protection, non-slip shoes</w:t>
            </w:r>
          </w:p>
        </w:tc>
        <w:tc>
          <w:tcPr>
            <w:tcW w:type="dxa" w:w="2880"/>
          </w:tcPr>
          <w:p>
            <w:r/>
            <w:r>
              <w:rPr>
                <w:b w:val="0"/>
                <w:i w:val="0"/>
              </w:rPr>
              <w:t>No exposed forearms</w:t>
            </w:r>
          </w:p>
        </w:tc>
      </w:tr>
      <w:tr>
        <w:tc>
          <w:tcPr>
            <w:tcW w:type="dxa" w:w="2880"/>
          </w:tcPr>
          <w:p>
            <w:r/>
            <w:r>
              <w:rPr>
                <w:b w:val="0"/>
                <w:i w:val="0"/>
              </w:rPr>
              <w:t>Path condition</w:t>
            </w:r>
          </w:p>
        </w:tc>
        <w:tc>
          <w:tcPr>
            <w:tcW w:type="dxa" w:w="2880"/>
          </w:tcPr>
          <w:p>
            <w:r/>
            <w:r>
              <w:rPr>
                <w:b w:val="0"/>
                <w:i w:val="0"/>
              </w:rPr>
              <w:t>Dry, clear, lit</w:t>
            </w:r>
          </w:p>
        </w:tc>
        <w:tc>
          <w:tcPr>
            <w:tcW w:type="dxa" w:w="2880"/>
          </w:tcPr>
          <w:p>
            <w:r/>
            <w:r>
              <w:rPr>
                <w:b w:val="0"/>
                <w:i w:val="0"/>
              </w:rPr>
              <w:t>Mats removed or secured</w:t>
            </w:r>
          </w:p>
        </w:tc>
      </w:tr>
      <w:tr>
        <w:tc>
          <w:tcPr>
            <w:tcW w:type="dxa" w:w="2880"/>
          </w:tcPr>
          <w:p>
            <w:r/>
            <w:r>
              <w:rPr>
                <w:b w:val="0"/>
                <w:i w:val="0"/>
              </w:rPr>
              <w:t>Stockpot use for oil transport</w:t>
            </w:r>
          </w:p>
        </w:tc>
        <w:tc>
          <w:tcPr>
            <w:tcW w:type="dxa" w:w="2880"/>
          </w:tcPr>
          <w:p>
            <w:r/>
            <w:r>
              <w:rPr>
                <w:b w:val="0"/>
                <w:i w:val="0"/>
              </w:rPr>
              <w:t>Prohibited</w:t>
            </w:r>
          </w:p>
        </w:tc>
        <w:tc>
          <w:tcPr>
            <w:tcW w:type="dxa" w:w="2880"/>
          </w:tcPr>
          <w:p>
            <w:r/>
            <w:r>
              <w:rPr>
                <w:b w:val="0"/>
                <w:i w:val="0"/>
              </w:rPr>
              <w:t>Use oil caddy only</w:t>
            </w:r>
          </w:p>
        </w:tc>
      </w:tr>
    </w:tbl>
    <w:p/>
    <w:p>
      <w:r>
        <w:rPr>
          <w:b w:val="0"/>
          <w:i w:val="0"/>
        </w:rPr>
        <w:t>By locking oil changes to after close and using the oil caddy every time, we remove the rush, the crowding, and the carry risk that caused the splash. Stick to the checklist, and speak up if any step isn’t safe.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DOC-INC-002 · Incident: Minor Burn at Fry Station · Hearthline Kitchen (illustrative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Minor Burn at Fry Station</dc:title>
  <dc:subject>incident</dc:subject>
  <dc:creator>Priya Nair</dc:creator>
  <cp:keywords/>
  <dc:description>generated by python-docx</dc:description>
  <cp:lastModifiedBy/>
  <cp:revision>1</cp:revision>
  <dcterms:created xsi:type="dcterms:W3CDTF">2013-12-23T23:15:00Z</dcterms:created>
  <dcterms:modified xsi:type="dcterms:W3CDTF">2013-12-23T23:15:00Z</dcterms:modified>
  <cp:category/>
</cp:coreProperties>
</file>