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5E2C37F3"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B917C0">
        <w:t>,</w:t>
      </w:r>
      <w:r w:rsidR="007A12E7">
        <w:t xml:space="preserve"> an </w:t>
      </w:r>
      <w:r w:rsidR="00B917C0">
        <w:t>on-going study with the purpose of assessing global mental wellbeing through administration of the MHQ.</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 220,324 participants from 214 countries who completed the MHQ from XXX to XXX. Additional information concerning the MHM project and recruitment strategy may be found elsewhere (Newson et al., 2021). This study involved secondary analysis of existing data and there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281E7027"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 Items were developed by consolidation of 170 symptom</w:t>
      </w:r>
      <w:r w:rsidR="004043F1">
        <w:t>s</w:t>
      </w:r>
      <w:r>
        <w:t xml:space="preserve"> coded from 126 </w:t>
      </w:r>
      <w:r w:rsidR="004043F1">
        <w:t xml:space="preserve">commonly used </w:t>
      </w:r>
      <w:r>
        <w:t>psychiatric 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54D569F8" w:rsidR="00343D29" w:rsidRDefault="004043F1" w:rsidP="00ED2A11">
      <w:pPr>
        <w:spacing w:line="360" w:lineRule="auto"/>
      </w:pPr>
      <w:r>
        <w:t xml:space="preserve">Responses were computed into an overall mental wellbeing score, </w:t>
      </w:r>
      <w:r w:rsidR="009D1779">
        <w:t xml:space="preserve">originally </w:t>
      </w:r>
      <w:r>
        <w:t xml:space="preserve">ranging from </w:t>
      </w:r>
      <w:commentRangeStart w:id="1"/>
      <w:r>
        <w:t>-100 to +200.</w:t>
      </w:r>
      <w:commentRangeEnd w:id="1"/>
      <w:r w:rsidR="000A2DF6">
        <w:rPr>
          <w:rStyle w:val="CommentReference"/>
        </w:rPr>
        <w:commentReference w:id="1"/>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4D42FE">
        <w:t xml:space="preserve"> categorized 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0E57D0C9"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-50 to +100,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9F1790C" w14:textId="303EAD1D" w:rsidR="00946809" w:rsidRDefault="00946809" w:rsidP="00ED2A11">
      <w:pPr>
        <w:spacing w:line="360" w:lineRule="auto"/>
      </w:pPr>
    </w:p>
    <w:p w14:paraId="6F840B72" w14:textId="1013A48D" w:rsidR="00946809" w:rsidRDefault="00946809" w:rsidP="00ED2A11">
      <w:pPr>
        <w:spacing w:line="360" w:lineRule="auto"/>
      </w:pPr>
      <w:commentRangeStart w:id="2"/>
      <w:r>
        <w:t xml:space="preserve">The MHQ demonstrated </w:t>
      </w:r>
      <w:commentRangeEnd w:id="2"/>
      <w:r>
        <w:rPr>
          <w:rStyle w:val="CommentReference"/>
        </w:rPr>
        <w:commentReference w:id="2"/>
      </w:r>
      <w:r>
        <w:t xml:space="preserve">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 </w:t>
      </w:r>
      <w:sdt>
        <w:sdtPr>
          <w:id w:val="-2050133638"/>
          <w:citation/>
        </w:sdtPr>
        <w:sdtContent>
          <w:r>
            <w:fldChar w:fldCharType="begin"/>
          </w:r>
          <w:r>
            <w:instrText xml:space="preserve"> CITATION New22 \l 1033 </w:instrText>
          </w:r>
          <w:r>
            <w:fldChar w:fldCharType="separate"/>
          </w:r>
          <w:r>
            <w:rPr>
              <w:noProof/>
            </w:rPr>
            <w:t>(Newson JJ, 2022)</w:t>
          </w:r>
          <w:r>
            <w:fldChar w:fldCharType="end"/>
          </w:r>
        </w:sdtContent>
      </w:sdt>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4C2C899F"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and</w:t>
      </w:r>
      <w:commentRangeStart w:id="3"/>
      <w:r>
        <w:t xml:space="preserve"> whether they have had a significant traumatic </w:t>
      </w:r>
      <w:r w:rsidR="00A76ABE">
        <w:t xml:space="preserve">childhood or adult </w:t>
      </w:r>
      <w:r>
        <w:t>experience (</w:t>
      </w:r>
      <w:r w:rsidR="00DC565B">
        <w:t>Y</w:t>
      </w:r>
      <w:r w:rsidR="00A76ABE">
        <w:t>/N</w:t>
      </w:r>
      <w:commentRangeEnd w:id="3"/>
      <w:r w:rsidR="00A76ABE">
        <w:rPr>
          <w:rStyle w:val="CommentReference"/>
        </w:rPr>
        <w:commentReference w:id="3"/>
      </w:r>
      <w:r>
        <w:t>).</w:t>
      </w:r>
      <w:r w:rsidR="00DC565B">
        <w:t xml:space="preserve"> </w:t>
      </w:r>
      <w:r w:rsidRPr="00E239C9">
        <w:t xml:space="preserve">These variables will be referred to as the full covariate set. </w:t>
      </w:r>
      <w:r w:rsidRPr="005813BD">
        <w:rPr>
          <w:highlight w:val="yellow"/>
        </w:rPr>
        <w:t>All items in which participants responded “Prefer not to say” were recoded as missing for purposes of multiple imputation.</w:t>
      </w:r>
      <w:r w:rsidR="00DC565B">
        <w:t xml:space="preserve"> Participants were further nested by country </w:t>
      </w:r>
      <w:r w:rsidR="00A76ABE">
        <w:t xml:space="preserve">in the analysis </w:t>
      </w:r>
      <w:r w:rsidR="00DC565B">
        <w:t xml:space="preserve">to account for potential </w:t>
      </w:r>
      <w:r w:rsidR="00DC565B">
        <w:lastRenderedPageBreak/>
        <w:t>clustering</w:t>
      </w:r>
      <w:r w:rsidR="00A76ABE">
        <w:t xml:space="preserve"> effects</w:t>
      </w:r>
      <w:r w:rsidR="00DC565B">
        <w:t xml:space="preserve">. Ethnicity was dropped from further analysis due to high missingness (84.2%) </w:t>
      </w:r>
      <w:commentRangeStart w:id="4"/>
      <w:r w:rsidR="00DC565B">
        <w:t>under the assumption that adjusting for country will cover some of the variance explained by ethnicity.</w:t>
      </w:r>
      <w:commentRangeEnd w:id="4"/>
      <w:r w:rsidR="00DC565B">
        <w:rPr>
          <w:rStyle w:val="CommentReference"/>
        </w:rPr>
        <w:commentReference w:id="4"/>
      </w:r>
      <w:r w:rsidR="00E953E9">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457C376B"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C506C7">
        <w:t xml:space="preserve">. </w:t>
      </w:r>
      <w:r w:rsidR="007F78F1">
        <w:t xml:space="preserve">As the items used to calculate the overall MHQ score, as well as exercise frequency, were required by the questionnaire, only some covariate items which were not required showed </w:t>
      </w:r>
      <w:commentRangeStart w:id="5"/>
      <w:commentRangeStart w:id="6"/>
      <w:r w:rsidR="007F78F1">
        <w:t>missingness</w:t>
      </w:r>
      <w:commentRangeEnd w:id="5"/>
      <w:r w:rsidR="007F78F1">
        <w:rPr>
          <w:rStyle w:val="CommentReference"/>
        </w:rPr>
        <w:commentReference w:id="5"/>
      </w:r>
      <w:commentRangeEnd w:id="6"/>
      <w:r w:rsidR="004F1596">
        <w:rPr>
          <w:rStyle w:val="CommentReference"/>
        </w:rPr>
        <w:commentReference w:id="6"/>
      </w:r>
      <w:r w:rsidR="007F78F1">
        <w:t xml:space="preserve">. Answer responses which included “Prefer not to say” were recoded to missing. </w:t>
      </w:r>
      <w:commentRangeStart w:id="7"/>
      <w:r w:rsidR="00771FDC">
        <w:t xml:space="preserve">Missing </w:t>
      </w:r>
      <w:commentRangeEnd w:id="7"/>
      <w:r w:rsidR="00107437">
        <w:rPr>
          <w:rStyle w:val="CommentReference"/>
        </w:rPr>
        <w:commentReference w:id="7"/>
      </w:r>
      <w:r w:rsidR="00771FDC">
        <w:t>data was handled with M</w:t>
      </w:r>
      <w:r w:rsidR="00C506C7">
        <w:t xml:space="preserve">ultiple </w:t>
      </w:r>
      <w:r w:rsidR="00771FDC" w:rsidRPr="00D129F7">
        <w:t>I</w:t>
      </w:r>
      <w:r w:rsidR="00C506C7" w:rsidRPr="00D129F7">
        <w:t xml:space="preserve">mputation using Fully </w:t>
      </w:r>
      <w:commentRangeStart w:id="8"/>
      <w:r w:rsidR="00C506C7" w:rsidRPr="00D129F7">
        <w:t xml:space="preserve">Conditioned </w:t>
      </w:r>
      <w:commentRangeEnd w:id="8"/>
      <w:r w:rsidR="00107437">
        <w:rPr>
          <w:rStyle w:val="CommentReference"/>
        </w:rPr>
        <w:commentReference w:id="8"/>
      </w:r>
      <w:r w:rsidR="00C506C7" w:rsidRPr="00D129F7">
        <w:t xml:space="preserve">Specification </w:t>
      </w:r>
      <w:r w:rsidR="00771FDC" w:rsidRPr="00D129F7">
        <w:t>as</w:t>
      </w:r>
      <w:r w:rsidR="00C506C7" w:rsidRPr="00D129F7">
        <w:t xml:space="preserve"> implemented </w:t>
      </w:r>
      <w:r w:rsidR="00771FDC" w:rsidRPr="00D129F7">
        <w:t>in</w:t>
      </w:r>
      <w:r w:rsidR="00C506C7" w:rsidRPr="00D129F7">
        <w:t xml:space="preserve"> the R-Package</w:t>
      </w:r>
      <w:r w:rsidR="00771FDC" w:rsidRPr="00D129F7">
        <w:t xml:space="preserve"> </w:t>
      </w:r>
      <w:r w:rsidR="00771FDC" w:rsidRPr="00D129F7">
        <w:rPr>
          <w:i/>
          <w:iCs/>
        </w:rPr>
        <w:t>mice</w:t>
      </w:r>
      <w:r w:rsidR="00C506C7" w:rsidRPr="00D129F7">
        <w:t xml:space="preserve"> (van Buuren 2022)</w:t>
      </w:r>
      <w:r w:rsidR="001B508B">
        <w:t xml:space="preserve"> with number of imputations set to </w:t>
      </w:r>
      <w:r w:rsidR="00171563">
        <w:t>10</w:t>
      </w:r>
      <w:r w:rsidR="00771FDC" w:rsidRPr="00D129F7">
        <w:t xml:space="preserve">. </w:t>
      </w:r>
      <w:r w:rsidR="001B508B">
        <w:t xml:space="preserve">Multiple imputation preserves the sample size while accounting for uncertainty by </w:t>
      </w:r>
      <w:r w:rsidR="00171563">
        <w:t xml:space="preserve">incorporating randomness in missing value estimation </w:t>
      </w:r>
      <w:r w:rsidR="00107437">
        <w:t>in</w:t>
      </w:r>
      <w:r w:rsidR="001B508B">
        <w:t xml:space="preserve"> multiple data sets</w:t>
      </w:r>
      <w:r w:rsidR="00107437">
        <w:t>.</w:t>
      </w:r>
    </w:p>
    <w:p w14:paraId="39314F21" w14:textId="33B5710B" w:rsidR="007F78F1" w:rsidRPr="00D129F7" w:rsidRDefault="007F78F1" w:rsidP="00ED2A11">
      <w:pPr>
        <w:spacing w:line="360" w:lineRule="auto"/>
      </w:pPr>
    </w:p>
    <w:p w14:paraId="52BE747C" w14:textId="6F3878DF" w:rsidR="007F78F1" w:rsidRPr="00107437" w:rsidRDefault="004F1596" w:rsidP="00ED2A11">
      <w:pPr>
        <w:spacing w:line="360" w:lineRule="auto"/>
      </w:pPr>
      <w:r>
        <w:t>Distributions of c</w:t>
      </w:r>
      <w:r w:rsidR="007F78F1" w:rsidRPr="00D129F7">
        <w:t xml:space="preserve">ovariates were balanced </w:t>
      </w:r>
      <w:r w:rsidR="00171563">
        <w:t xml:space="preserve">across </w:t>
      </w:r>
      <w:commentRangeStart w:id="9"/>
      <w:r w:rsidR="00171563">
        <w:t>exposure</w:t>
      </w:r>
      <w:r w:rsidR="00D129F7" w:rsidRPr="00D129F7">
        <w:t xml:space="preserve"> </w:t>
      </w:r>
      <w:commentRangeEnd w:id="9"/>
      <w:r w:rsidR="00171563">
        <w:rPr>
          <w:rStyle w:val="CommentReference"/>
        </w:rPr>
        <w:commentReference w:id="9"/>
      </w:r>
      <w:r w:rsidR="00D129F7" w:rsidRPr="00D129F7">
        <w:t>levels</w:t>
      </w:r>
      <w:r w:rsidR="007F78F1" w:rsidRPr="00D129F7">
        <w:t xml:space="preserve"> using propensity score </w:t>
      </w:r>
      <w:commentRangeStart w:id="10"/>
      <w:r w:rsidR="007F78F1" w:rsidRPr="00D129F7">
        <w:t xml:space="preserve">weighting </w:t>
      </w:r>
      <w:commentRangeEnd w:id="10"/>
      <w:r w:rsidR="00171563">
        <w:rPr>
          <w:rStyle w:val="CommentReference"/>
        </w:rPr>
        <w:commentReference w:id="10"/>
      </w:r>
      <w:r w:rsidR="007F78F1" w:rsidRPr="00D129F7">
        <w:t xml:space="preserve">as implemented in the R-Package </w:t>
      </w:r>
      <w:r w:rsidR="007F78F1" w:rsidRPr="00D129F7">
        <w:rPr>
          <w:i/>
          <w:iCs/>
        </w:rPr>
        <w:t>MatchThem</w:t>
      </w:r>
      <w:r w:rsidR="007F78F1" w:rsidRPr="00D129F7">
        <w:t xml:space="preserve"> (Pishgar 2022)</w:t>
      </w:r>
      <w:r w:rsidR="00D129F7" w:rsidRPr="00D129F7">
        <w:t xml:space="preserve"> to </w:t>
      </w:r>
      <w:r w:rsidR="007F78F1" w:rsidRPr="00D129F7">
        <w:t>allow for estim</w:t>
      </w:r>
      <w:r w:rsidR="00D129F7" w:rsidRPr="00D129F7">
        <w:t xml:space="preserve">ation of </w:t>
      </w:r>
      <w:r>
        <w:t xml:space="preserve">a treatment effect in </w:t>
      </w:r>
      <w:r w:rsidR="00171563">
        <w:t xml:space="preserve">multiply imputed data. Covariate balance was </w:t>
      </w:r>
      <w:commentRangeStart w:id="11"/>
      <w:r w:rsidR="00171563">
        <w:t xml:space="preserve">assessed </w:t>
      </w:r>
      <w:commentRangeEnd w:id="11"/>
      <w:r w:rsidR="00171563">
        <w:rPr>
          <w:rStyle w:val="CommentReference"/>
        </w:rPr>
        <w:commentReference w:id="11"/>
      </w:r>
      <w:r w:rsidR="00171563">
        <w:t xml:space="preserve">using… Weighting procedures were conducted </w:t>
      </w:r>
      <w:r w:rsidR="00E43E63">
        <w:t xml:space="preserve">and combined </w:t>
      </w:r>
      <w:r w:rsidR="00107437">
        <w:t xml:space="preserve">using the </w:t>
      </w:r>
      <w:r w:rsidR="00107437">
        <w:rPr>
          <w:i/>
          <w:iCs/>
        </w:rPr>
        <w:t>within</w:t>
      </w:r>
      <w:r w:rsidR="00107437">
        <w:t xml:space="preserve"> approach</w:t>
      </w:r>
      <w:sdt>
        <w:sdtPr>
          <w:id w:val="558763215"/>
          <w:citation/>
        </w:sdtPr>
        <w:sdtContent>
          <w:r w:rsidR="00E43E63">
            <w:fldChar w:fldCharType="begin"/>
          </w:r>
          <w:r w:rsidR="00E43E63">
            <w:instrText xml:space="preserve"> CITATION Jen04 \l 1033 </w:instrText>
          </w:r>
          <w:r w:rsidR="00E43E63">
            <w:fldChar w:fldCharType="separate"/>
          </w:r>
          <w:r w:rsidR="00E43E63">
            <w:rPr>
              <w:noProof/>
            </w:rPr>
            <w:t xml:space="preserve"> (Hill, 2004)</w:t>
          </w:r>
          <w:r w:rsidR="00E43E63">
            <w:fldChar w:fldCharType="end"/>
          </w:r>
        </w:sdtContent>
      </w:sdt>
      <w:r w:rsidR="00107437">
        <w:t xml:space="preserve">, where </w:t>
      </w:r>
      <w:r w:rsidR="00E43E63">
        <w:t>propensity scores are estimated for each imputed data set by conditioning on</w:t>
      </w:r>
    </w:p>
    <w:p w14:paraId="76D2CDBA" w14:textId="11E129BE" w:rsidR="00ED2A11" w:rsidRDefault="00ED2A11" w:rsidP="00ED2A11">
      <w:pPr>
        <w:spacing w:line="360" w:lineRule="auto"/>
      </w:pPr>
    </w:p>
    <w:p w14:paraId="060B1F5D" w14:textId="73BEF53E" w:rsidR="00A76ABE" w:rsidRDefault="00A76ABE" w:rsidP="00ED2A11">
      <w:pPr>
        <w:spacing w:line="360" w:lineRule="auto"/>
      </w:pPr>
    </w:p>
    <w:p w14:paraId="7FD35025" w14:textId="68B688C2" w:rsidR="00A76ABE" w:rsidRDefault="00A76ABE" w:rsidP="00ED2A11">
      <w:pPr>
        <w:spacing w:line="360" w:lineRule="auto"/>
      </w:pPr>
    </w:p>
    <w:p w14:paraId="3DA97B47" w14:textId="77777777" w:rsidR="00A76ABE" w:rsidRDefault="00A76ABE" w:rsidP="00ED2A11">
      <w:pPr>
        <w:spacing w:line="360" w:lineRule="auto"/>
      </w:pPr>
    </w:p>
    <w:p w14:paraId="4C300E55" w14:textId="6AA2B868" w:rsidR="007D1133" w:rsidRDefault="007D1133" w:rsidP="00ED2A11">
      <w:pPr>
        <w:spacing w:line="360" w:lineRule="auto"/>
      </w:pPr>
    </w:p>
    <w:p w14:paraId="7F894C56" w14:textId="51428849" w:rsidR="007D1133" w:rsidRDefault="007D1133" w:rsidP="00ED2A11">
      <w:pPr>
        <w:spacing w:line="360" w:lineRule="auto"/>
      </w:pPr>
    </w:p>
    <w:sdt>
      <w:sdtPr>
        <w:rPr>
          <w:rFonts w:asciiTheme="minorHAnsi" w:eastAsiaTheme="minorHAnsi" w:hAnsiTheme="minorHAnsi" w:cstheme="minorBidi"/>
          <w:color w:val="auto"/>
          <w:sz w:val="22"/>
          <w:szCs w:val="22"/>
        </w:rPr>
        <w:id w:val="-1055391809"/>
        <w:docPartObj>
          <w:docPartGallery w:val="Bibliographies"/>
          <w:docPartUnique/>
        </w:docPartObj>
      </w:sdtPr>
      <w:sdtContent>
        <w:p w14:paraId="5FA77659" w14:textId="3E80716D" w:rsidR="007D1133" w:rsidRDefault="007D1133">
          <w:pPr>
            <w:pStyle w:val="Heading1"/>
          </w:pPr>
          <w:r>
            <w:t>References</w:t>
          </w:r>
        </w:p>
        <w:sdt>
          <w:sdtPr>
            <w:id w:val="-573587230"/>
            <w:bibliography/>
          </w:sdtPr>
          <w:sdtContent>
            <w:p w14:paraId="1D2438C9" w14:textId="77777777" w:rsidR="007D1133" w:rsidRDefault="007D1133" w:rsidP="007D1133">
              <w:pPr>
                <w:pStyle w:val="Bibliography"/>
                <w:ind w:left="720" w:hanging="720"/>
                <w:rPr>
                  <w:noProof/>
                  <w:sz w:val="24"/>
                  <w:szCs w:val="24"/>
                </w:rPr>
              </w:pPr>
              <w:r>
                <w:fldChar w:fldCharType="begin"/>
              </w:r>
              <w:r>
                <w:instrText xml:space="preserve"> BIBLIOGRAPHY </w:instrText>
              </w:r>
              <w:r>
                <w:fldChar w:fldCharType="separate"/>
              </w:r>
              <w:r>
                <w:rPr>
                  <w:noProof/>
                </w:rPr>
                <w:t xml:space="preserve">Newson JJ, P. V. (2022). Assessment of Population Well-being With the Mental Health Quotient: Validation Study. </w:t>
              </w:r>
              <w:r>
                <w:rPr>
                  <w:i/>
                  <w:iCs/>
                  <w:noProof/>
                </w:rPr>
                <w:t>JMIR Ment Health</w:t>
              </w:r>
              <w:r>
                <w:rPr>
                  <w:noProof/>
                </w:rPr>
                <w:t>.</w:t>
              </w:r>
            </w:p>
            <w:p w14:paraId="36742AA5" w14:textId="2D7361EC" w:rsidR="007D1133" w:rsidRDefault="007D1133" w:rsidP="007D1133">
              <w:r>
                <w:rPr>
                  <w:b/>
                  <w:bCs/>
                  <w:noProof/>
                </w:rPr>
                <w:fldChar w:fldCharType="end"/>
              </w:r>
            </w:p>
          </w:sdtContent>
        </w:sdt>
      </w:sdtContent>
    </w:sdt>
    <w:p w14:paraId="00733AE8" w14:textId="77777777" w:rsidR="007D1133" w:rsidRDefault="007D1133" w:rsidP="00ED2A11">
      <w:pPr>
        <w:spacing w:line="360" w:lineRule="auto"/>
      </w:pPr>
    </w:p>
    <w:sectPr w:rsidR="007D11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1-08T21:13:00Z" w:initials="CH">
    <w:p w14:paraId="71A66700" w14:textId="7952A0FA" w:rsidR="000A2DF6" w:rsidRDefault="000A2DF6">
      <w:pPr>
        <w:pStyle w:val="CommentText"/>
      </w:pPr>
      <w:r>
        <w:rPr>
          <w:rStyle w:val="CommentReference"/>
        </w:rPr>
        <w:annotationRef/>
      </w:r>
      <w:r>
        <w:t>MHQ min: -166.40 in our data</w:t>
      </w:r>
    </w:p>
  </w:comment>
  <w:comment w:id="2" w:author="christopher huong" w:date="2022-11-18T08:53:00Z" w:initials="ch">
    <w:p w14:paraId="2BCDC537" w14:textId="77777777" w:rsidR="00946809" w:rsidRDefault="00946809" w:rsidP="00946809">
      <w:pPr>
        <w:pStyle w:val="CommentText"/>
      </w:pPr>
      <w:r>
        <w:rPr>
          <w:rStyle w:val="CommentReference"/>
        </w:rPr>
        <w:annotationRef/>
      </w:r>
      <w:r>
        <w:t>May have to give a lengthy discussion on reliability and validity as it is a new measure?</w:t>
      </w:r>
    </w:p>
  </w:comment>
  <w:comment w:id="3" w:author="christopher huong" w:date="2022-11-28T22:55:00Z" w:initials="ch">
    <w:p w14:paraId="63A886C1" w14:textId="77777777" w:rsidR="00A76ABE" w:rsidRDefault="00A76ABE" w:rsidP="00376696">
      <w:pPr>
        <w:pStyle w:val="CommentText"/>
      </w:pPr>
      <w:r>
        <w:rPr>
          <w:rStyle w:val="CommentReference"/>
        </w:rPr>
        <w:annotationRef/>
      </w:r>
      <w:r>
        <w:t>Expand on how this was recoded?</w:t>
      </w:r>
    </w:p>
  </w:comment>
  <w:comment w:id="4" w:author="christopher huong" w:date="2022-11-18T09:22:00Z" w:initials="ch">
    <w:p w14:paraId="3B0ACF6F" w14:textId="337D95C2" w:rsidR="00DC565B" w:rsidRDefault="00DC565B" w:rsidP="007C4A79">
      <w:pPr>
        <w:pStyle w:val="CommentText"/>
      </w:pPr>
      <w:r>
        <w:rPr>
          <w:rStyle w:val="CommentReference"/>
        </w:rPr>
        <w:annotationRef/>
      </w:r>
      <w:r>
        <w:t>This can be mentioned later as a limitation (e.g., ignoring possible effects of being an ethnic minorities within a country)</w:t>
      </w:r>
    </w:p>
  </w:comment>
  <w:comment w:id="5" w:author="christopher huong" w:date="2022-11-28T23:20:00Z" w:initials="ch">
    <w:p w14:paraId="5D0B362D" w14:textId="77777777" w:rsidR="007F78F1" w:rsidRDefault="007F78F1" w:rsidP="000F330C">
      <w:pPr>
        <w:pStyle w:val="CommentText"/>
      </w:pPr>
      <w:r>
        <w:rPr>
          <w:rStyle w:val="CommentReference"/>
        </w:rPr>
        <w:annotationRef/>
      </w:r>
      <w:r>
        <w:t>Show missingness by variable in supplemental?</w:t>
      </w:r>
    </w:p>
  </w:comment>
  <w:comment w:id="6" w:author="christopher huong" w:date="2022-11-29T19:23:00Z" w:initials="ch">
    <w:p w14:paraId="612F6A12" w14:textId="77777777" w:rsidR="004F1596" w:rsidRDefault="004F1596" w:rsidP="00DE1920">
      <w:pPr>
        <w:pStyle w:val="CommentText"/>
      </w:pPr>
      <w:r>
        <w:rPr>
          <w:rStyle w:val="CommentReference"/>
        </w:rPr>
        <w:annotationRef/>
      </w:r>
      <w:r>
        <w:t>table</w:t>
      </w:r>
    </w:p>
  </w:comment>
  <w:comment w:id="7" w:author="christopher huong" w:date="2022-11-29T20:02:00Z" w:initials="ch">
    <w:p w14:paraId="12814C3A" w14:textId="77777777" w:rsidR="00107437" w:rsidRDefault="00107437" w:rsidP="00090492">
      <w:pPr>
        <w:pStyle w:val="CommentText"/>
      </w:pPr>
      <w:r>
        <w:rPr>
          <w:rStyle w:val="CommentReference"/>
        </w:rPr>
        <w:annotationRef/>
      </w:r>
      <w:r>
        <w:t>Check if data are missing at random?</w:t>
      </w:r>
    </w:p>
  </w:comment>
  <w:comment w:id="8" w:author="christopher huong" w:date="2022-11-29T20:01:00Z" w:initials="ch">
    <w:p w14:paraId="4966E0EF" w14:textId="34CE44B4" w:rsidR="00107437" w:rsidRDefault="00107437" w:rsidP="00476D49">
      <w:pPr>
        <w:pStyle w:val="CommentText"/>
      </w:pPr>
      <w:r>
        <w:rPr>
          <w:rStyle w:val="CommentReference"/>
        </w:rPr>
        <w:annotationRef/>
      </w:r>
      <w:r>
        <w:t>Justify FCS over joint-modeling?</w:t>
      </w:r>
    </w:p>
  </w:comment>
  <w:comment w:id="9" w:author="christopher huong" w:date="2022-11-29T19:48:00Z" w:initials="ch">
    <w:p w14:paraId="6DCE715C" w14:textId="77777777" w:rsidR="00171563" w:rsidRDefault="00171563" w:rsidP="00D95018">
      <w:pPr>
        <w:pStyle w:val="CommentText"/>
      </w:pPr>
      <w:r>
        <w:rPr>
          <w:rStyle w:val="CommentReference"/>
        </w:rPr>
        <w:annotationRef/>
      </w:r>
      <w:r>
        <w:t>Exercise frequency</w:t>
      </w:r>
    </w:p>
  </w:comment>
  <w:comment w:id="10" w:author="christopher huong" w:date="2022-11-29T19:47:00Z" w:initials="ch">
    <w:p w14:paraId="15DF57CD" w14:textId="6DBF34CF" w:rsidR="00171563" w:rsidRDefault="00171563" w:rsidP="00407E1E">
      <w:pPr>
        <w:pStyle w:val="CommentText"/>
      </w:pPr>
      <w:r>
        <w:rPr>
          <w:rStyle w:val="CommentReference"/>
        </w:rPr>
        <w:annotationRef/>
      </w:r>
      <w:r>
        <w:t>Justify weighting over matching?</w:t>
      </w:r>
    </w:p>
  </w:comment>
  <w:comment w:id="11" w:author="christopher huong" w:date="2022-11-29T19:49:00Z" w:initials="ch">
    <w:p w14:paraId="0D1D5F8F" w14:textId="77777777" w:rsidR="00171563" w:rsidRDefault="00171563" w:rsidP="00B872A7">
      <w:pPr>
        <w:pStyle w:val="CommentText"/>
      </w:pPr>
      <w:r>
        <w:rPr>
          <w:rStyle w:val="CommentReference"/>
        </w:rPr>
        <w:annotationRef/>
      </w:r>
      <w:r>
        <w:t>Include this in 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71A66700" w15:done="0"/>
  <w15:commentEx w15:paraId="2BCDC537" w15:done="0"/>
  <w15:commentEx w15:paraId="63A886C1" w15:done="0"/>
  <w15:commentEx w15:paraId="3B0ACF6F" w15:done="0"/>
  <w15:commentEx w15:paraId="5D0B362D" w15:done="0"/>
  <w15:commentEx w15:paraId="612F6A12" w15:paraIdParent="5D0B362D" w15:done="0"/>
  <w15:commentEx w15:paraId="12814C3A" w15:done="0"/>
  <w15:commentEx w15:paraId="4966E0EF" w15:done="0"/>
  <w15:commentEx w15:paraId="6DCE715C" w15:done="0"/>
  <w15:commentEx w15:paraId="15DF57CD" w15:done="0"/>
  <w15:commentEx w15:paraId="0D1D5F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1544EA" w16cex:dateUtc="2022-11-09T03:13:00Z"/>
  <w16cex:commentExtensible w16cex:durableId="2721C679" w16cex:dateUtc="2022-11-18T14:53:00Z"/>
  <w16cex:commentExtensible w16cex:durableId="272FBAC9" w16cex:dateUtc="2022-11-29T04:55:00Z"/>
  <w16cex:commentExtensible w16cex:durableId="2721CD6E" w16cex:dateUtc="2022-11-18T15:22:00Z"/>
  <w16cex:commentExtensible w16cex:durableId="272FC0C6" w16cex:dateUtc="2022-11-29T05:20:00Z"/>
  <w16cex:commentExtensible w16cex:durableId="2730DAB2" w16cex:dateUtc="2022-11-30T01:23:00Z"/>
  <w16cex:commentExtensible w16cex:durableId="2730E3DC" w16cex:dateUtc="2022-11-30T02:02:00Z"/>
  <w16cex:commentExtensible w16cex:durableId="2730E3AC" w16cex:dateUtc="2022-11-30T02:01:00Z"/>
  <w16cex:commentExtensible w16cex:durableId="2730E079" w16cex:dateUtc="2022-11-30T01:48:00Z"/>
  <w16cex:commentExtensible w16cex:durableId="2730E056" w16cex:dateUtc="2022-11-30T01:47:00Z"/>
  <w16cex:commentExtensible w16cex:durableId="2730E0CD" w16cex:dateUtc="2022-11-30T0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71A66700" w16cid:durableId="271544EA"/>
  <w16cid:commentId w16cid:paraId="2BCDC537" w16cid:durableId="2721C679"/>
  <w16cid:commentId w16cid:paraId="63A886C1" w16cid:durableId="272FBAC9"/>
  <w16cid:commentId w16cid:paraId="3B0ACF6F" w16cid:durableId="2721CD6E"/>
  <w16cid:commentId w16cid:paraId="5D0B362D" w16cid:durableId="272FC0C6"/>
  <w16cid:commentId w16cid:paraId="612F6A12" w16cid:durableId="2730DAB2"/>
  <w16cid:commentId w16cid:paraId="12814C3A" w16cid:durableId="2730E3DC"/>
  <w16cid:commentId w16cid:paraId="4966E0EF" w16cid:durableId="2730E3AC"/>
  <w16cid:commentId w16cid:paraId="6DCE715C" w16cid:durableId="2730E079"/>
  <w16cid:commentId w16cid:paraId="15DF57CD" w16cid:durableId="2730E056"/>
  <w16cid:commentId w16cid:paraId="0D1D5F8F" w16cid:durableId="2730E0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A2DF6"/>
    <w:rsid w:val="000E750E"/>
    <w:rsid w:val="00107437"/>
    <w:rsid w:val="00122808"/>
    <w:rsid w:val="00156533"/>
    <w:rsid w:val="00171563"/>
    <w:rsid w:val="001B508B"/>
    <w:rsid w:val="00343D29"/>
    <w:rsid w:val="00352824"/>
    <w:rsid w:val="004043F1"/>
    <w:rsid w:val="00437151"/>
    <w:rsid w:val="004D42FE"/>
    <w:rsid w:val="004E736A"/>
    <w:rsid w:val="004F1596"/>
    <w:rsid w:val="005813BD"/>
    <w:rsid w:val="005F136A"/>
    <w:rsid w:val="006F1D42"/>
    <w:rsid w:val="00771FDC"/>
    <w:rsid w:val="007A12E7"/>
    <w:rsid w:val="007A2BAB"/>
    <w:rsid w:val="007D1133"/>
    <w:rsid w:val="007F45DB"/>
    <w:rsid w:val="007F78F1"/>
    <w:rsid w:val="008A12DD"/>
    <w:rsid w:val="008B5A88"/>
    <w:rsid w:val="008E1D18"/>
    <w:rsid w:val="00946809"/>
    <w:rsid w:val="009D1779"/>
    <w:rsid w:val="00A310DD"/>
    <w:rsid w:val="00A76ABE"/>
    <w:rsid w:val="00A91612"/>
    <w:rsid w:val="00AB0A03"/>
    <w:rsid w:val="00AB3ABC"/>
    <w:rsid w:val="00AC4A78"/>
    <w:rsid w:val="00B917C0"/>
    <w:rsid w:val="00C506C7"/>
    <w:rsid w:val="00D129F7"/>
    <w:rsid w:val="00DC565B"/>
    <w:rsid w:val="00E04424"/>
    <w:rsid w:val="00E239C9"/>
    <w:rsid w:val="00E43E63"/>
    <w:rsid w:val="00E953E9"/>
    <w:rsid w:val="00ED2A11"/>
    <w:rsid w:val="00EF70E0"/>
    <w:rsid w:val="00F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2</b:RefOrder>
  </b:Source>
</b:Sources>
</file>

<file path=customXml/itemProps1.xml><?xml version="1.0" encoding="utf-8"?>
<ds:datastoreItem xmlns:ds="http://schemas.openxmlformats.org/officeDocument/2006/customXml" ds:itemID="{B9566263-2455-46AC-87AD-5D846E0A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10</cp:revision>
  <dcterms:created xsi:type="dcterms:W3CDTF">2022-10-06T17:21:00Z</dcterms:created>
  <dcterms:modified xsi:type="dcterms:W3CDTF">2022-11-30T02:16:00Z</dcterms:modified>
</cp:coreProperties>
</file>