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96B30E"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w:t>
      </w:r>
      <w:r w:rsidR="0071490D">
        <w:t>6</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w:t>
      </w:r>
      <w:r w:rsidR="00485D6E">
        <w:fldChar w:fldCharType="begin"/>
      </w:r>
      <w:r w:rsidR="00E8113E">
        <w:instrText xml:space="preserve"> ADDIN EN.CITE &lt;EndNote&gt;&lt;Cite&gt;&lt;Author&gt;Newson&lt;/Author&gt;&lt;Year&gt;2020&lt;/Year&gt;&lt;RecNum&gt;59&lt;/RecNum&gt;&lt;DisplayText&gt;(Newson &amp;amp; Thiagarajan, 2020)&lt;/DisplayText&gt;&lt;record&gt;&lt;rec-number&gt;59&lt;/rec-number&gt;&lt;foreign-keys&gt;&lt;key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fldChar w:fldCharType="separate"/>
      </w:r>
      <w:r w:rsidR="00485D6E">
        <w:rPr>
          <w:noProof/>
        </w:rPr>
        <w:t>(Newson &amp; Thiagarajan, 2020)</w:t>
      </w:r>
      <w:r w:rsidR="00485D6E">
        <w:fldChar w:fldCharType="end"/>
      </w:r>
      <w:r w:rsidR="00ED2A11">
        <w:t>.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7C1FCA27" w:rsidR="00ED2A11" w:rsidRPr="00E239C9" w:rsidRDefault="00ED2A11" w:rsidP="00ED2A11">
      <w:pPr>
        <w:spacing w:line="360" w:lineRule="auto"/>
        <w:rPr>
          <w:b/>
          <w:bCs/>
        </w:rPr>
      </w:pPr>
      <w:r w:rsidRPr="00E239C9">
        <w:rPr>
          <w:b/>
          <w:bCs/>
        </w:rPr>
        <w:t>Measures:</w:t>
      </w:r>
      <w:r w:rsidR="00CD3197">
        <w:rPr>
          <w:b/>
          <w:bCs/>
        </w:rPr>
        <w:t xml:space="preserve">  </w:t>
      </w:r>
    </w:p>
    <w:p w14:paraId="0703047A" w14:textId="226AEEE1" w:rsidR="00ED2A11" w:rsidRPr="00E239C9" w:rsidRDefault="00ED2A11" w:rsidP="00ED2A11">
      <w:pPr>
        <w:spacing w:line="360" w:lineRule="auto"/>
        <w:rPr>
          <w:b/>
          <w:bCs/>
        </w:rPr>
      </w:pPr>
      <w:r w:rsidRPr="00E239C9">
        <w:rPr>
          <w:b/>
          <w:bCs/>
        </w:rPr>
        <w:t>Mental Wellbeing:</w:t>
      </w:r>
    </w:p>
    <w:p w14:paraId="7B5AE076" w14:textId="4EE2DFFD"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w:t>
      </w:r>
      <w:r w:rsidR="00582406">
        <w:t xml:space="preserve">. </w:t>
      </w:r>
      <w:r>
        <w:t>Items were developed by consolidation of 170 symptom</w:t>
      </w:r>
      <w:r w:rsidR="004043F1">
        <w:t>s</w:t>
      </w:r>
      <w:r>
        <w:t xml:space="preserve"> coded from 126 </w:t>
      </w:r>
      <w:r w:rsidR="004043F1">
        <w:t xml:space="preserve">commonly used </w:t>
      </w:r>
      <w:r>
        <w:t>assessment tools</w:t>
      </w:r>
      <w:r w:rsidR="004043F1">
        <w:t xml:space="preserve"> covering depression, anxiety, bipolar disorder,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ranging from -100 to +200.</w:t>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r w:rsidR="00603E49">
        <w:t>binned</w:t>
      </w:r>
      <w:r w:rsidR="004D42FE">
        <w:t xml:space="preserve"> 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EB6D561"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from -</w:t>
      </w:r>
      <w:r w:rsidR="00603E49">
        <w:t>10</w:t>
      </w:r>
      <w:r w:rsidR="004D42FE">
        <w:t>0 to +</w:t>
      </w:r>
      <w:r w:rsidR="00603E49">
        <w:t>2</w:t>
      </w:r>
      <w:r w:rsidR="004D42FE">
        <w:t>00, and</w:t>
      </w:r>
      <w:r w:rsidR="00122808">
        <w:t xml:space="preserve"> 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w:t>
      </w:r>
      <w:r w:rsidR="00933F1B">
        <w:t>REF</w:t>
      </w:r>
      <w:r w:rsidR="00122808">
        <w:t>)</w:t>
      </w:r>
      <w:r w:rsidR="004D42FE">
        <w:t>.</w:t>
      </w:r>
    </w:p>
    <w:p w14:paraId="59F1790C" w14:textId="303EAD1D" w:rsidR="00946809" w:rsidRDefault="00946809" w:rsidP="00ED2A11">
      <w:pPr>
        <w:spacing w:line="360" w:lineRule="auto"/>
      </w:pPr>
    </w:p>
    <w:p w14:paraId="6F840B72" w14:textId="3EF08C66" w:rsidR="00946809" w:rsidRDefault="00946809" w:rsidP="00ED2A11">
      <w:pPr>
        <w:spacing w:line="360" w:lineRule="auto"/>
      </w:pPr>
      <w:r>
        <w:t>The MHQ demonstrated 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w:t>
      </w:r>
      <w:r w:rsidR="00485D6E">
        <w:t xml:space="preserve"> </w:t>
      </w:r>
      <w:r w:rsidR="00485D6E">
        <w:fldChar w:fldCharType="begin"/>
      </w:r>
      <w:r w:rsidR="00E8113E">
        <w:instrText xml:space="preserve"> ADDIN EN.CITE &lt;EndNote&gt;&lt;Cite&gt;&lt;Author&gt;Newson&lt;/Author&gt;&lt;Year&gt;2022&lt;/Year&gt;&lt;RecNum&gt;60&lt;/RecNum&gt;&lt;DisplayText&gt;(Newson et al., 2022)&lt;/DisplayText&gt;&lt;record&gt;&lt;rec-number&gt;60&lt;/rec-number&gt;&lt;foreign-keys&gt;&lt;key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485D6E">
        <w:fldChar w:fldCharType="separate"/>
      </w:r>
      <w:r w:rsidR="00485D6E">
        <w:rPr>
          <w:noProof/>
        </w:rPr>
        <w:t>(Newson et al., 2022)</w:t>
      </w:r>
      <w:r w:rsidR="00485D6E">
        <w:fldChar w:fldCharType="end"/>
      </w:r>
      <w:r w:rsidR="00485D6E">
        <w:t>.</w:t>
      </w:r>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3CD3D727"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xml:space="preserve">), and whether they </w:t>
      </w:r>
      <w:r w:rsidR="0006789A">
        <w:t>reported</w:t>
      </w:r>
      <w:r>
        <w:t xml:space="preserve"> a significant traumatic </w:t>
      </w:r>
      <w:r w:rsidR="00A76ABE">
        <w:t xml:space="preserve">childhood or adult </w:t>
      </w:r>
      <w:r>
        <w:t>experience (</w:t>
      </w:r>
      <w:r w:rsidR="00DC565B">
        <w:t>Y</w:t>
      </w:r>
      <w:r w:rsidR="00A76ABE">
        <w:t>/N</w:t>
      </w:r>
      <w:r>
        <w:t>)</w:t>
      </w:r>
      <w:r w:rsidRPr="00E239C9">
        <w:t xml:space="preserve">. </w:t>
      </w:r>
      <w:r w:rsidRPr="005813BD">
        <w:rPr>
          <w:highlight w:val="yellow"/>
        </w:rPr>
        <w:t>All items in which participants responded “Prefer not to say” were recoded as missing</w:t>
      </w:r>
      <w:r w:rsidR="00065819">
        <w:rPr>
          <w:highlight w:val="yellow"/>
        </w:rPr>
        <w:t>.</w:t>
      </w:r>
      <w:r w:rsidRPr="005813BD">
        <w:rPr>
          <w:highlight w:val="yellow"/>
        </w:rPr>
        <w:t xml:space="preserve"> </w:t>
      </w:r>
      <w:r w:rsidR="00DC565B">
        <w:t xml:space="preserve">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72359775"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E8113E">
        <w:t xml:space="preserve"> </w:t>
      </w:r>
      <w:r w:rsidR="00E8113E">
        <w:fldChar w:fldCharType="begin"/>
      </w:r>
      <w:r w:rsidR="00E8113E">
        <w:instrText xml:space="preserve"> ADDIN EN.CITE &lt;EndNote&gt;&lt;Cite&gt;&lt;Author&gt;RCoreTeam&lt;/Author&gt;&lt;Year&gt;2021&lt;/Year&gt;&lt;RecNum&gt;29&lt;/RecNum&gt;&lt;DisplayText&gt;(RCoreTeam, 2021)&lt;/DisplayText&gt;&lt;record&gt;&lt;rec-number&gt;29&lt;/rec-number&gt;&lt;foreign-keys&gt;&lt;key app="EN" db-id="vda2pvwscxarw9e0z24p90wxpr2wfdzp2a0w" timestamp="1674447583"&gt;29&lt;/key&gt;&lt;/foreign-keys&gt;&lt;ref-type name="Computer Program"&gt;9&lt;/ref-type&gt;&lt;contributors&gt;&lt;authors&gt;&lt;author&gt;RCoreTeam&lt;/author&gt;&lt;/authors&gt;&lt;/contributors&gt;&lt;titles&gt;&lt;title&gt;R: A language and environment for statistical computing. R Foundation for Statistical Computing, Vienna, Austria. &lt;/title&gt;&lt;/titles&gt;&lt;dates&gt;&lt;year&gt;2021&lt;/year&gt;&lt;/dates&gt;&lt;urls&gt;&lt;/urls&gt;&lt;/record&gt;&lt;/Cite&gt;&lt;/EndNote&gt;</w:instrText>
      </w:r>
      <w:r w:rsidR="00E8113E">
        <w:fldChar w:fldCharType="separate"/>
      </w:r>
      <w:r w:rsidR="00E8113E">
        <w:rPr>
          <w:noProof/>
        </w:rPr>
        <w:t>(RCoreTeam, 2021)</w:t>
      </w:r>
      <w:r w:rsidR="00E8113E">
        <w:fldChar w:fldCharType="end"/>
      </w:r>
      <w:r w:rsidR="00E8113E">
        <w:t xml:space="preserve">. </w:t>
      </w:r>
      <w:r w:rsidR="007F78F1">
        <w:t xml:space="preserve">As the items used to calculate the overall MHQ score, as well as exercise frequency, were required by the questionnaire, only some covariate items which were not required showed </w:t>
      </w:r>
      <w:r w:rsidR="00B045F5">
        <w:t xml:space="preserve">significant </w:t>
      </w:r>
      <w:r w:rsidR="007F78F1">
        <w:t>missingness</w:t>
      </w:r>
      <w:r w:rsidR="0006789A">
        <w:t>, with ethnicity</w:t>
      </w:r>
      <w:r w:rsidR="0071490D">
        <w:t xml:space="preserve"> and gender identity</w:t>
      </w:r>
      <w:r w:rsidR="0006789A">
        <w:t xml:space="preserve"> showing the highest (84.2%</w:t>
      </w:r>
      <w:r w:rsidR="00B045F5">
        <w:t xml:space="preserve"> and 98.5% respectively</w:t>
      </w:r>
      <w:r w:rsidR="0006789A">
        <w:t>)</w:t>
      </w:r>
      <w:r w:rsidR="00B045F5">
        <w:t>.</w:t>
      </w:r>
      <w:r w:rsidR="0006789A">
        <w:t xml:space="preserve"> </w:t>
      </w:r>
      <w:r w:rsidR="00B045F5">
        <w:t xml:space="preserve">These were </w:t>
      </w:r>
      <w:r w:rsidR="0006789A">
        <w:t>thus we dropped it from the analysis</w:t>
      </w:r>
      <w:r w:rsidR="007F78F1">
        <w:t>.</w:t>
      </w:r>
      <w:r w:rsidR="0006789A">
        <w:t xml:space="preserve"> A</w:t>
      </w:r>
      <w:r w:rsidR="007F78F1">
        <w:t xml:space="preserve">nswer responses which included “Prefer not to say” were recoded to missing. </w:t>
      </w:r>
      <w:r w:rsidR="003F52CF">
        <w:t xml:space="preserve">In line with </w:t>
      </w:r>
      <w:r w:rsidR="00E8113E">
        <w:fldChar w:fldCharType="begin"/>
      </w:r>
      <w:r w:rsidR="00E8113E">
        <w:instrText xml:space="preserve"> ADDIN EN.CITE &lt;EndNote&gt;&lt;Cite AuthorYear="1"&gt;&lt;Author&gt;Chekroud&lt;/Author&gt;&lt;Year&gt;2018&lt;/Year&gt;&lt;RecNum&gt;68&lt;/RecNum&gt;&lt;DisplayText&gt;Chekroud et al. (2018)&lt;/DisplayText&gt;&lt;record&gt;&lt;rec-number&gt;68&lt;/rec-number&gt;&lt;foreign-keys&gt;&lt;key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E8113E">
        <w:fldChar w:fldCharType="separate"/>
      </w:r>
      <w:r w:rsidR="00E8113E">
        <w:rPr>
          <w:noProof/>
        </w:rPr>
        <w:t>Chekroud et al. (2018)</w:t>
      </w:r>
      <w:r w:rsidR="00E8113E">
        <w:fldChar w:fldCharType="end"/>
      </w:r>
      <w:r w:rsidR="003F52CF">
        <w:t xml:space="preserve">, responses </w:t>
      </w:r>
      <w:r w:rsidR="00C974BD">
        <w:t xml:space="preserve">to physical exercise frequency were recoded into binary groups, with “Rarely/Never” indicating </w:t>
      </w:r>
      <w:r w:rsidR="003F52CF">
        <w:t>no</w:t>
      </w:r>
      <w:r w:rsidR="000C15CF">
        <w:t xml:space="preserve"> exposure to</w:t>
      </w:r>
      <w:r w:rsidR="003F52CF">
        <w:t xml:space="preserve"> exercise</w:t>
      </w:r>
      <w:r w:rsidR="00C974BD">
        <w:t>, and all other responses indicating</w:t>
      </w:r>
      <w:r w:rsidR="000C15CF">
        <w:t xml:space="preserve"> exposure to</w:t>
      </w:r>
      <w:r w:rsidR="00C974BD">
        <w:t xml:space="preserve"> </w:t>
      </w:r>
      <w:r w:rsidR="003F52CF">
        <w:t>exercise</w:t>
      </w:r>
      <w:r w:rsidR="00C974BD">
        <w:t>.</w:t>
      </w:r>
    </w:p>
    <w:p w14:paraId="1B093214" w14:textId="77777777" w:rsidR="00C974BD" w:rsidRDefault="00C974BD" w:rsidP="00ED2A11">
      <w:pPr>
        <w:spacing w:line="360" w:lineRule="auto"/>
      </w:pPr>
    </w:p>
    <w:p w14:paraId="52BE747C" w14:textId="728BE17F" w:rsidR="007F78F1" w:rsidRDefault="004F1596" w:rsidP="00ED2A11">
      <w:pPr>
        <w:spacing w:line="360" w:lineRule="auto"/>
      </w:pPr>
      <w:r>
        <w:t>Distributions of c</w:t>
      </w:r>
      <w:r w:rsidR="007F78F1" w:rsidRPr="00D129F7">
        <w:t xml:space="preserve">ovariates were balanced </w:t>
      </w:r>
      <w:r w:rsidR="00C974BD">
        <w:t xml:space="preserve">between </w:t>
      </w:r>
      <w:r w:rsidR="000C15CF">
        <w:t>the non-exposure and exposure</w:t>
      </w:r>
      <w:r w:rsidR="00C974BD">
        <w:t xml:space="preserve"> groups</w:t>
      </w:r>
      <w:r w:rsidR="007F78F1" w:rsidRPr="00D129F7">
        <w:t xml:space="preserve"> using propensity score</w:t>
      </w:r>
      <w:r w:rsidR="003D0AF0">
        <w:t xml:space="preserve"> weights</w:t>
      </w:r>
      <w:r w:rsidR="00AD7571">
        <w:t xml:space="preserve"> </w:t>
      </w:r>
      <w:r w:rsidR="003D0AF0">
        <w:t>estimated</w:t>
      </w:r>
      <w:r w:rsidR="004F6799">
        <w:t xml:space="preserve"> </w:t>
      </w:r>
      <w:r w:rsidR="00C974BD">
        <w:t>with</w:t>
      </w:r>
      <w:r w:rsidR="004F6799">
        <w:t xml:space="preserve"> generalized boosted model</w:t>
      </w:r>
      <w:r w:rsidR="00C974BD">
        <w:t>ing</w:t>
      </w:r>
      <w:r w:rsidR="00AD7571">
        <w:t xml:space="preserve"> (GBM)</w:t>
      </w:r>
      <w:r w:rsidR="004F6799">
        <w:t xml:space="preserve"> </w:t>
      </w:r>
      <w:r w:rsidR="00E8113E">
        <w:fldChar w:fldCharType="begin"/>
      </w:r>
      <w:r w:rsidR="00E8113E">
        <w:instrText xml:space="preserve"> ADDIN EN.CITE &lt;EndNote&gt;&lt;Cite&gt;&lt;Author&gt;McCaffrey&lt;/Author&gt;&lt;Year&gt;2004&lt;/Year&gt;&lt;RecNum&gt;52&lt;/RecNum&gt;&lt;DisplayText&gt;(McCaffrey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4F6799">
        <w:t>and</w:t>
      </w:r>
      <w:r w:rsidR="007F78F1" w:rsidRPr="00D129F7">
        <w:t xml:space="preserve"> implemented in the R-Package</w:t>
      </w:r>
      <w:r w:rsidR="004F6799">
        <w:t xml:space="preserve"> </w:t>
      </w:r>
      <w:proofErr w:type="spellStart"/>
      <w:r w:rsidR="004F6799">
        <w:t>WeightIt</w:t>
      </w:r>
      <w:proofErr w:type="spellEnd"/>
      <w:r w:rsidR="004F6799">
        <w:t xml:space="preserve">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4F6799">
        <w:t xml:space="preserve">. </w:t>
      </w:r>
      <w:r w:rsidR="003F3415">
        <w:t xml:space="preserve">The propensity score is defined as “the conditional probability of assignment to a particular treatment given a vector of observed covariates”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E8113E">
        <w:t xml:space="preserve"> </w:t>
      </w:r>
      <w:r w:rsidR="00826754">
        <w:t>with weighting procedures preferred over matching to preserve the size</w:t>
      </w:r>
      <w:r w:rsidR="00E8113E">
        <w:t xml:space="preserve"> of the sample</w:t>
      </w:r>
      <w:r w:rsidR="004F6799">
        <w:t>.</w:t>
      </w:r>
      <w:r w:rsidR="00AD7571">
        <w:t xml:space="preserve"> </w:t>
      </w:r>
      <w:r w:rsidR="00347571">
        <w:t xml:space="preserve">Propensity scores were converted into weights based on the Average Treatment </w:t>
      </w:r>
      <w:r w:rsidR="00B045F5">
        <w:t>e</w:t>
      </w:r>
      <w:r w:rsidR="00347571">
        <w:t>ffect</w:t>
      </w:r>
      <w:r w:rsidR="00B045F5">
        <w:t xml:space="preserve"> on the Treated</w:t>
      </w:r>
      <w:r w:rsidR="00347571">
        <w:t xml:space="preserve"> estimand</w:t>
      </w:r>
      <w:r w:rsidR="00D663D5">
        <w:t xml:space="preserve">, which </w:t>
      </w:r>
      <w:r w:rsidR="003F52CF">
        <w:t xml:space="preserve">is used to </w:t>
      </w:r>
      <w:r w:rsidR="00D663D5">
        <w:t>estimate</w:t>
      </w:r>
      <w:r w:rsidR="003F52CF">
        <w:t xml:space="preserve"> </w:t>
      </w:r>
      <w:r w:rsidR="00D663D5">
        <w:t>the hy</w:t>
      </w:r>
      <w:r w:rsidR="003F52CF">
        <w:t>pothetical</w:t>
      </w:r>
      <w:r w:rsidR="00D663D5">
        <w:t xml:space="preserve"> effect of exercise </w:t>
      </w:r>
      <w:r w:rsidR="000C15CF">
        <w:t xml:space="preserve">exposure on the </w:t>
      </w:r>
      <w:r w:rsidR="003D0AF0">
        <w:t>control (</w:t>
      </w:r>
      <w:r w:rsidR="00345D96">
        <w:t xml:space="preserve">i.e. </w:t>
      </w:r>
      <w:r w:rsidR="003D0AF0">
        <w:t>non-exercise)</w:t>
      </w:r>
      <w:r w:rsidR="000C15CF">
        <w:t xml:space="preserve"> group</w:t>
      </w:r>
      <w:r w:rsidR="00345D96">
        <w:t>, and is unbiased when the strong ignorability assumption is met</w:t>
      </w:r>
      <w:r w:rsidR="00C22DB4">
        <w:t xml:space="preserve"> </w:t>
      </w:r>
      <w:r w:rsidR="00E8113E">
        <w:fldChar w:fldCharType="begin"/>
      </w:r>
      <w:r w:rsidR="00E8113E">
        <w:instrText xml:space="preserve"> ADDIN EN.CITE &lt;EndNote&gt;&lt;Cite&gt;&lt;Author&gt;Rosenbaum&lt;/Author&gt;&lt;Year&gt;1983&lt;/Year&gt;&lt;RecNum&gt;58&lt;/RecNum&gt;&lt;DisplayText&gt;(Rosenbaum &amp;amp; Rubin, 1983)&lt;/DisplayText&gt;&lt;record&gt;&lt;rec-number&gt;58&lt;/rec-number&gt;&lt;foreign-keys&gt;&lt;key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fldChar w:fldCharType="separate"/>
      </w:r>
      <w:r w:rsidR="00E8113E">
        <w:rPr>
          <w:noProof/>
        </w:rPr>
        <w:t>(Rosenbaum &amp; Rubin, 1983)</w:t>
      </w:r>
      <w:r w:rsidR="00E8113E">
        <w:fldChar w:fldCharType="end"/>
      </w:r>
      <w:r w:rsidR="00347571">
        <w:t xml:space="preserve">. </w:t>
      </w:r>
      <w:r w:rsidR="00AD7571">
        <w:t>The GBM is a non-parametric iterative machine learning method which utilizes regression trees</w:t>
      </w:r>
      <w:r w:rsidR="00E31B92">
        <w:t xml:space="preserve"> </w:t>
      </w:r>
      <w:r w:rsidR="00CF010F">
        <w:t>and can</w:t>
      </w:r>
      <w:r w:rsidR="003D0AF0">
        <w:t xml:space="preserve"> </w:t>
      </w:r>
      <w:r w:rsidR="00E31B92">
        <w:t>accommodate non-linearity</w:t>
      </w:r>
      <w:r w:rsidR="003D0AF0">
        <w:t>.</w:t>
      </w:r>
      <w:r w:rsidR="00803A43">
        <w:t xml:space="preserve"> </w:t>
      </w:r>
      <w:r w:rsidR="00CF010F">
        <w:t xml:space="preserve">As suggested by </w:t>
      </w:r>
      <w:r w:rsidR="00E8113E">
        <w:fldChar w:fldCharType="begin"/>
      </w:r>
      <w:r w:rsidR="00E8113E">
        <w:instrText xml:space="preserve"> ADDIN EN.CITE &lt;EndNote&gt;&lt;Cite AuthorYear="1"&gt;&lt;Author&gt;McCaffrey&lt;/Author&gt;&lt;Year&gt;2004&lt;/Year&gt;&lt;RecNum&gt;52&lt;/RecNum&gt;&lt;DisplayText&gt;McCaffrey et al. (2004)&lt;/DisplayText&gt;&lt;record&gt;&lt;rec-number&gt;52&lt;/rec-number&gt;&lt;foreign-keys&gt;&lt;key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fldChar w:fldCharType="separate"/>
      </w:r>
      <w:r w:rsidR="00E8113E">
        <w:rPr>
          <w:noProof/>
        </w:rPr>
        <w:t>McCaffrey et al. (2004)</w:t>
      </w:r>
      <w:r w:rsidR="00E8113E">
        <w:fldChar w:fldCharType="end"/>
      </w:r>
      <w:r w:rsidR="00E8113E">
        <w:t xml:space="preserve"> </w:t>
      </w:r>
      <w:r w:rsidR="00CF010F">
        <w:t xml:space="preserve">the number of iterations was determined by minimizing the average standardized absolute mean difference in the covariates. </w:t>
      </w:r>
      <w:r w:rsidR="00E31B92">
        <w:t xml:space="preserve">The GBM </w:t>
      </w:r>
      <w:r w:rsidR="00803A43">
        <w:t xml:space="preserve">handles </w:t>
      </w:r>
      <w:r w:rsidR="003D0AF0">
        <w:t>missing data</w:t>
      </w:r>
      <w:r w:rsidR="00803A43">
        <w:t xml:space="preserve"> by </w:t>
      </w:r>
      <w:r w:rsidR="003D0AF0">
        <w:t xml:space="preserve">the </w:t>
      </w:r>
      <w:r w:rsidR="00803A43">
        <w:t>surrogate splitting</w:t>
      </w:r>
      <w:r w:rsidR="00E22D7F">
        <w:t xml:space="preserve"> method as described in the </w:t>
      </w:r>
      <w:proofErr w:type="spellStart"/>
      <w:r w:rsidR="00E22D7F">
        <w:t>WeightIt</w:t>
      </w:r>
      <w:proofErr w:type="spellEnd"/>
      <w:r w:rsidR="00E22D7F">
        <w:t xml:space="preserve"> R-package documentation </w:t>
      </w:r>
      <w:r w:rsidR="00E8113E">
        <w:fldChar w:fldCharType="begin"/>
      </w:r>
      <w:r w:rsidR="00E8113E">
        <w:instrText xml:space="preserve"> ADDIN EN.CITE &lt;EndNote&gt;&lt;Cite&gt;&lt;Author&gt;Greifer&lt;/Author&gt;&lt;Year&gt;2020&lt;/Year&gt;&lt;RecNum&gt;63&lt;/RecNum&gt;&lt;DisplayText&gt;(Greifer, 2020)&lt;/DisplayText&gt;&lt;record&gt;&lt;rec-number&gt;63&lt;/rec-number&gt;&lt;foreign-keys&gt;&lt;key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fldChar w:fldCharType="separate"/>
      </w:r>
      <w:r w:rsidR="00E8113E">
        <w:rPr>
          <w:noProof/>
        </w:rPr>
        <w:t>(Greifer, 2020)</w:t>
      </w:r>
      <w:r w:rsidR="00E8113E">
        <w:fldChar w:fldCharType="end"/>
      </w:r>
      <w:r w:rsidR="00803A43">
        <w:t>.</w:t>
      </w:r>
      <w:r w:rsidR="00C22DB4">
        <w:t xml:space="preserve"> </w:t>
      </w:r>
      <w:r w:rsidR="00E22D7F">
        <w:t xml:space="preserve">Though unlikely to </w:t>
      </w:r>
      <w:r w:rsidR="00EC1816">
        <w:t xml:space="preserve">significantly </w:t>
      </w:r>
      <w:r w:rsidR="00E22D7F">
        <w:t xml:space="preserve">improve </w:t>
      </w:r>
      <w:r w:rsidR="00FB7CF1">
        <w:t xml:space="preserve">performance of inferences for our estimation procedure </w:t>
      </w:r>
      <w:r w:rsidR="00E8113E">
        <w:fldChar w:fldCharType="begin"/>
      </w:r>
      <w:r w:rsidR="00E8113E">
        <w:instrText xml:space="preserve"> ADDIN EN.CITE &lt;EndNote&gt;&lt;Cite&gt;&lt;Author&gt;Lee&lt;/Author&gt;&lt;Year&gt;2011&lt;/Year&gt;&lt;RecNum&gt;53&lt;/RecNum&gt;&lt;DisplayText&gt;(Lee et al., 2011)&lt;/DisplayText&gt;&lt;record&gt;&lt;rec-number&gt;53&lt;/rec-number&gt;&lt;foreign-keys&gt;&lt;key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fldChar w:fldCharType="separate"/>
      </w:r>
      <w:r w:rsidR="00E8113E">
        <w:rPr>
          <w:noProof/>
        </w:rPr>
        <w:t>(Lee et al., 2011)</w:t>
      </w:r>
      <w:r w:rsidR="00E8113E">
        <w:fldChar w:fldCharType="end"/>
      </w:r>
      <w:r w:rsidR="00E8113E">
        <w:t xml:space="preserve"> </w:t>
      </w:r>
      <w:r w:rsidR="00FB7CF1">
        <w:t>w</w:t>
      </w:r>
      <w:r w:rsidR="00F40811">
        <w:t>eights</w:t>
      </w:r>
      <w:r w:rsidR="00347571">
        <w:t xml:space="preserve"> above 99% were trimmed </w:t>
      </w:r>
      <w:r w:rsidR="00F40811">
        <w:t>to reduce potential bias</w:t>
      </w:r>
      <w:r w:rsidR="00FB7CF1">
        <w:t xml:space="preserve"> from extreme values.</w:t>
      </w:r>
      <w:r w:rsidR="00DA49EA">
        <w:t xml:space="preserve"> </w:t>
      </w:r>
      <w:r w:rsidR="00926BCF">
        <w:t xml:space="preserve">Diagnostics </w:t>
      </w:r>
      <w:r w:rsidR="00C51F0B">
        <w:t xml:space="preserve">were used to ensure covariates </w:t>
      </w:r>
      <w:r w:rsidR="00C51F0B">
        <w:lastRenderedPageBreak/>
        <w:t>were adequately balanced.</w:t>
      </w:r>
      <w:r w:rsidR="009B535C">
        <w:t xml:space="preserve"> </w:t>
      </w:r>
      <w:r w:rsidR="00BD0CC9">
        <w:t>Our main analysis</w:t>
      </w:r>
      <w:r w:rsidR="009B535C">
        <w:t xml:space="preserve"> estimated treatment effects of exercise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6F7A7AA7" w14:textId="15B3098A" w:rsidR="00DA49EA" w:rsidRDefault="00DA49EA" w:rsidP="00DA49EA">
      <w:pPr>
        <w:spacing w:line="360" w:lineRule="auto"/>
      </w:pPr>
      <w:r>
        <w:t>In case the inferences of the main analysis are biased due to the method of estimation or handling of missing, we performed a sensitivity analysis with multiple imputation and covariate balancing propensity scores</w:t>
      </w:r>
      <w:r w:rsidR="00631FCB">
        <w:t xml:space="preserve">, which may perform better if there is a non-complex relationship between treatment and outcome </w:t>
      </w:r>
      <w:r w:rsidR="00631FCB">
        <w:fldChar w:fldCharType="begin"/>
      </w:r>
      <w:r w:rsidR="00631FCB">
        <w:instrText xml:space="preserve"> ADDIN EN.CITE &lt;EndNote&gt;&lt;Cite&gt;&lt;Author&gt;Setodji&lt;/Author&gt;&lt;Year&gt;2017&lt;/Year&gt;&lt;RecNum&gt;69&lt;/RecNum&gt;&lt;DisplayText&gt;(Setodji et al., 2017)&lt;/DisplayText&gt;&lt;record&gt;&lt;rec-number&gt;69&lt;/rec-number&gt;&lt;foreign-keys&gt;&lt;key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fldChar w:fldCharType="separate"/>
      </w:r>
      <w:r w:rsidR="00631FCB">
        <w:rPr>
          <w:noProof/>
        </w:rPr>
        <w:t>(Setodji et al., 2017)</w:t>
      </w:r>
      <w:r w:rsidR="00631FCB">
        <w:fldChar w:fldCharType="end"/>
      </w:r>
      <w:r w:rsidR="00631FCB">
        <w:t>,</w:t>
      </w:r>
      <w:r>
        <w:t xml:space="preserve"> </w:t>
      </w:r>
      <w:r w:rsidR="002D3639">
        <w:t xml:space="preserve">to check for convergence </w:t>
      </w:r>
      <w:r>
        <w:t>(</w:t>
      </w:r>
      <w:r w:rsidR="00631FCB">
        <w:t xml:space="preserve">further </w:t>
      </w:r>
      <w:r>
        <w:t>details in supplementary). Using this method, we also computed interaction effects between physical exercise and age on the overall MHQ score</w:t>
      </w:r>
      <w:r w:rsidR="002D3639">
        <w:t>, with</w:t>
      </w:r>
      <w:r>
        <w:t xml:space="preserve"> </w:t>
      </w:r>
      <w:r w:rsidR="002D3639">
        <w:t>age</w:t>
      </w:r>
      <w:r>
        <w:t xml:space="preserve"> recoded into three </w:t>
      </w:r>
      <w:r w:rsidR="002D3639">
        <w:t>groups</w:t>
      </w:r>
      <w:r>
        <w:t>: ‘young adult’ (18-34), ‘middle adult’ (35-64), and ‘senior’ (65-85+).</w:t>
      </w:r>
    </w:p>
    <w:p w14:paraId="15D151FB" w14:textId="7E5399AC" w:rsidR="00DA49EA" w:rsidRDefault="00DA49EA" w:rsidP="00065819">
      <w:pPr>
        <w:spacing w:line="360" w:lineRule="auto"/>
      </w:pPr>
    </w:p>
    <w:p w14:paraId="31182C4A" w14:textId="77777777" w:rsidR="00803A43" w:rsidRDefault="00803A43" w:rsidP="00ED2A11">
      <w:pPr>
        <w:spacing w:line="360" w:lineRule="auto"/>
      </w:pP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1D1B773F" w14:textId="77777777" w:rsidR="009D3B6D" w:rsidRDefault="009D3B6D" w:rsidP="00ED2A11">
      <w:pPr>
        <w:spacing w:line="360" w:lineRule="auto"/>
      </w:pPr>
    </w:p>
    <w:p w14:paraId="4C300E55" w14:textId="6AA2B868" w:rsidR="007D1133" w:rsidRDefault="007D1133" w:rsidP="00ED2A11">
      <w:pPr>
        <w:spacing w:line="360" w:lineRule="auto"/>
      </w:pPr>
    </w:p>
    <w:p w14:paraId="4D70A145" w14:textId="77777777" w:rsidR="00AF03EE" w:rsidRDefault="00AF03EE" w:rsidP="00AF03EE">
      <w:pPr>
        <w:tabs>
          <w:tab w:val="left" w:pos="6936"/>
        </w:tabs>
      </w:pPr>
      <w:r>
        <w:tab/>
      </w:r>
    </w:p>
    <w:p w14:paraId="57608ABE" w14:textId="02AE933F" w:rsidR="00AF03EE" w:rsidRDefault="00AF03EE" w:rsidP="00AF03EE">
      <w:pPr>
        <w:tabs>
          <w:tab w:val="left" w:pos="6936"/>
        </w:tabs>
      </w:pPr>
    </w:p>
    <w:p w14:paraId="7210F5F2" w14:textId="25CFA210" w:rsidR="00AF03EE" w:rsidRDefault="00AF03EE" w:rsidP="00AF03EE">
      <w:pPr>
        <w:tabs>
          <w:tab w:val="left" w:pos="6936"/>
        </w:tabs>
      </w:pPr>
    </w:p>
    <w:p w14:paraId="6264B19B" w14:textId="77777777" w:rsidR="00AF03EE" w:rsidRDefault="00AF03EE" w:rsidP="00AF03EE">
      <w:pPr>
        <w:tabs>
          <w:tab w:val="left" w:pos="6936"/>
        </w:tabs>
      </w:pPr>
    </w:p>
    <w:p w14:paraId="699FEED6" w14:textId="77777777" w:rsidR="00485D6E" w:rsidRDefault="00485D6E" w:rsidP="00AF03EE">
      <w:pPr>
        <w:tabs>
          <w:tab w:val="left" w:pos="6936"/>
        </w:tabs>
      </w:pPr>
    </w:p>
    <w:p w14:paraId="3D332E09" w14:textId="77777777" w:rsidR="00485D6E" w:rsidRDefault="00485D6E" w:rsidP="00AF03EE">
      <w:pPr>
        <w:tabs>
          <w:tab w:val="left" w:pos="6936"/>
        </w:tabs>
      </w:pPr>
    </w:p>
    <w:p w14:paraId="7344A8A1" w14:textId="77777777" w:rsidR="00631FCB" w:rsidRPr="00631FCB" w:rsidRDefault="00485D6E" w:rsidP="00631FCB">
      <w:pPr>
        <w:pStyle w:val="EndNoteBibliography"/>
        <w:spacing w:after="0"/>
        <w:ind w:left="720" w:hanging="720"/>
      </w:pPr>
      <w:r>
        <w:fldChar w:fldCharType="begin"/>
      </w:r>
      <w:r>
        <w:instrText xml:space="preserve"> ADDIN EN.REFLIST </w:instrText>
      </w:r>
      <w:r>
        <w:fldChar w:fldCharType="separate"/>
      </w:r>
      <w:r w:rsidR="00631FCB" w:rsidRPr="00631FCB">
        <w:t xml:space="preserve">Chekroud, S. R., Gueorguieva, R., Zheutlin, A. B., Paulus, M., Krumholz, H. M., Krystal, J. H., &amp; Chekroud, A. M. (2018). Association between physical exercise and mental health in 1· 2 million individuals in the USA between 2011 and 2015: a cross-sectional study. </w:t>
      </w:r>
      <w:r w:rsidR="00631FCB" w:rsidRPr="00631FCB">
        <w:rPr>
          <w:i/>
        </w:rPr>
        <w:t>The Lancet Psychiatry</w:t>
      </w:r>
      <w:r w:rsidR="00631FCB" w:rsidRPr="00631FCB">
        <w:t>,</w:t>
      </w:r>
      <w:r w:rsidR="00631FCB" w:rsidRPr="00631FCB">
        <w:rPr>
          <w:i/>
        </w:rPr>
        <w:t xml:space="preserve"> 5</w:t>
      </w:r>
      <w:r w:rsidR="00631FCB" w:rsidRPr="00631FCB">
        <w:t xml:space="preserve">(9), 739-746. </w:t>
      </w:r>
    </w:p>
    <w:p w14:paraId="028D890D" w14:textId="77777777" w:rsidR="00631FCB" w:rsidRPr="00631FCB" w:rsidRDefault="00631FCB" w:rsidP="00631FCB">
      <w:pPr>
        <w:pStyle w:val="EndNoteBibliography"/>
        <w:spacing w:after="0"/>
        <w:ind w:left="720" w:hanging="720"/>
      </w:pPr>
      <w:r w:rsidRPr="00631FCB">
        <w:lastRenderedPageBreak/>
        <w:t xml:space="preserve">Greifer, N. (2020). WeightIt: weighting for covariate balance in observational studies. </w:t>
      </w:r>
      <w:r w:rsidRPr="00631FCB">
        <w:rPr>
          <w:i/>
        </w:rPr>
        <w:t>R package version 0.10</w:t>
      </w:r>
      <w:r w:rsidRPr="00631FCB">
        <w:t>,</w:t>
      </w:r>
      <w:r w:rsidRPr="00631FCB">
        <w:rPr>
          <w:i/>
        </w:rPr>
        <w:t xml:space="preserve"> 2</w:t>
      </w:r>
      <w:r w:rsidRPr="00631FCB">
        <w:t xml:space="preserve">. </w:t>
      </w:r>
    </w:p>
    <w:p w14:paraId="4F996924" w14:textId="77777777" w:rsidR="00631FCB" w:rsidRPr="00631FCB" w:rsidRDefault="00631FCB" w:rsidP="00631FCB">
      <w:pPr>
        <w:pStyle w:val="EndNoteBibliography"/>
        <w:spacing w:after="0"/>
        <w:ind w:left="720" w:hanging="720"/>
      </w:pPr>
      <w:r w:rsidRPr="00631FCB">
        <w:t xml:space="preserve">Lee, B. K., Lessler, J., &amp; Stuart, E. A. (2011). Weight trimming and propensity score weighting. </w:t>
      </w:r>
      <w:r w:rsidRPr="00631FCB">
        <w:rPr>
          <w:i/>
        </w:rPr>
        <w:t>PloS one</w:t>
      </w:r>
      <w:r w:rsidRPr="00631FCB">
        <w:t>,</w:t>
      </w:r>
      <w:r w:rsidRPr="00631FCB">
        <w:rPr>
          <w:i/>
        </w:rPr>
        <w:t xml:space="preserve"> 6</w:t>
      </w:r>
      <w:r w:rsidRPr="00631FCB">
        <w:t xml:space="preserve">(3), e18174. </w:t>
      </w:r>
    </w:p>
    <w:p w14:paraId="3E4DA7EF" w14:textId="77777777" w:rsidR="00631FCB" w:rsidRPr="00631FCB" w:rsidRDefault="00631FCB" w:rsidP="00631FCB">
      <w:pPr>
        <w:pStyle w:val="EndNoteBibliography"/>
        <w:spacing w:after="0"/>
        <w:ind w:left="720" w:hanging="720"/>
      </w:pPr>
      <w:r w:rsidRPr="00631FCB">
        <w:t xml:space="preserve">McCaffrey, D. F., Ridgeway, G., &amp; Morral, A. R. (2004). Propensity score estimation with boosted regression for evaluating causal effects in observational studies. </w:t>
      </w:r>
      <w:r w:rsidRPr="00631FCB">
        <w:rPr>
          <w:i/>
        </w:rPr>
        <w:t>Psychological methods</w:t>
      </w:r>
      <w:r w:rsidRPr="00631FCB">
        <w:t>,</w:t>
      </w:r>
      <w:r w:rsidRPr="00631FCB">
        <w:rPr>
          <w:i/>
        </w:rPr>
        <w:t xml:space="preserve"> 9</w:t>
      </w:r>
      <w:r w:rsidRPr="00631FCB">
        <w:t xml:space="preserve">(4), 403. </w:t>
      </w:r>
    </w:p>
    <w:p w14:paraId="6AB0B05F" w14:textId="77777777" w:rsidR="00631FCB" w:rsidRPr="00631FCB" w:rsidRDefault="00631FCB" w:rsidP="00631FCB">
      <w:pPr>
        <w:pStyle w:val="EndNoteBibliography"/>
        <w:spacing w:after="0"/>
        <w:ind w:left="720" w:hanging="720"/>
      </w:pPr>
      <w:r w:rsidRPr="00631FCB">
        <w:t xml:space="preserve">Newson, J. J., Pastukh, V., &amp; Thiagarajan, T. C. (2022). Assessment of Population Well-being With the Mental Health Quotient: Validation Study. </w:t>
      </w:r>
      <w:r w:rsidRPr="00631FCB">
        <w:rPr>
          <w:i/>
        </w:rPr>
        <w:t>JMIR Mental Health</w:t>
      </w:r>
      <w:r w:rsidRPr="00631FCB">
        <w:t>,</w:t>
      </w:r>
      <w:r w:rsidRPr="00631FCB">
        <w:rPr>
          <w:i/>
        </w:rPr>
        <w:t xml:space="preserve"> 9</w:t>
      </w:r>
      <w:r w:rsidRPr="00631FCB">
        <w:t xml:space="preserve">(4), e34105. </w:t>
      </w:r>
    </w:p>
    <w:p w14:paraId="03F2ED6D" w14:textId="77777777" w:rsidR="00631FCB" w:rsidRPr="00631FCB" w:rsidRDefault="00631FCB" w:rsidP="00631FCB">
      <w:pPr>
        <w:pStyle w:val="EndNoteBibliography"/>
        <w:spacing w:after="0"/>
        <w:ind w:left="720" w:hanging="720"/>
      </w:pPr>
      <w:r w:rsidRPr="00631FCB">
        <w:t xml:space="preserve">Newson, J. J., &amp; Thiagarajan, T. C. (2020). Assessment of population well-being with the Mental Health Quotient (MHQ): development and usability study. </w:t>
      </w:r>
      <w:r w:rsidRPr="00631FCB">
        <w:rPr>
          <w:i/>
        </w:rPr>
        <w:t>JMIR Mental Health</w:t>
      </w:r>
      <w:r w:rsidRPr="00631FCB">
        <w:t>,</w:t>
      </w:r>
      <w:r w:rsidRPr="00631FCB">
        <w:rPr>
          <w:i/>
        </w:rPr>
        <w:t xml:space="preserve"> 7</w:t>
      </w:r>
      <w:r w:rsidRPr="00631FCB">
        <w:t xml:space="preserve">(7), e17935. </w:t>
      </w:r>
    </w:p>
    <w:p w14:paraId="1C94171F" w14:textId="77777777" w:rsidR="00631FCB" w:rsidRPr="00631FCB" w:rsidRDefault="00631FCB" w:rsidP="00631FCB">
      <w:pPr>
        <w:pStyle w:val="EndNoteBibliography"/>
        <w:spacing w:after="0"/>
        <w:ind w:left="720" w:hanging="720"/>
      </w:pPr>
      <w:r w:rsidRPr="00631FCB">
        <w:t xml:space="preserve">RCoreTeam. (2021). </w:t>
      </w:r>
      <w:r w:rsidRPr="00631FCB">
        <w:rPr>
          <w:i/>
        </w:rPr>
        <w:t xml:space="preserve">R: A language and environment for statistical computing. R Foundation for Statistical Computing, Vienna, Austria. </w:t>
      </w:r>
      <w:r w:rsidRPr="00631FCB">
        <w:t>.</w:t>
      </w:r>
      <w:r w:rsidRPr="00631FCB">
        <w:rPr>
          <w:i/>
        </w:rPr>
        <w:t xml:space="preserve"> </w:t>
      </w:r>
      <w:r w:rsidRPr="00631FCB">
        <w:t xml:space="preserve">In </w:t>
      </w:r>
    </w:p>
    <w:p w14:paraId="52E7ABE0" w14:textId="77777777" w:rsidR="00631FCB" w:rsidRPr="00631FCB" w:rsidRDefault="00631FCB" w:rsidP="00631FCB">
      <w:pPr>
        <w:pStyle w:val="EndNoteBibliography"/>
        <w:spacing w:after="0"/>
        <w:ind w:left="720" w:hanging="720"/>
      </w:pPr>
      <w:r w:rsidRPr="00631FCB">
        <w:t xml:space="preserve">Rosenbaum, P. R., &amp; Rubin, D. B. (1983). The central role of the propensity score in observational studies for causal effects. </w:t>
      </w:r>
      <w:r w:rsidRPr="00631FCB">
        <w:rPr>
          <w:i/>
        </w:rPr>
        <w:t>Biometrika</w:t>
      </w:r>
      <w:r w:rsidRPr="00631FCB">
        <w:t>,</w:t>
      </w:r>
      <w:r w:rsidRPr="00631FCB">
        <w:rPr>
          <w:i/>
        </w:rPr>
        <w:t xml:space="preserve"> 70</w:t>
      </w:r>
      <w:r w:rsidRPr="00631FCB">
        <w:t xml:space="preserve">(1), 41-55. </w:t>
      </w:r>
    </w:p>
    <w:p w14:paraId="2E15F2DF" w14:textId="77777777" w:rsidR="00631FCB" w:rsidRPr="00631FCB" w:rsidRDefault="00631FCB" w:rsidP="00631FCB">
      <w:pPr>
        <w:pStyle w:val="EndNoteBibliography"/>
        <w:ind w:left="720" w:hanging="720"/>
      </w:pPr>
      <w:r w:rsidRPr="00631FCB">
        <w:t xml:space="preserve">Setodji, C. M., McCaffrey, D. F., Burgette, L. F., Almirall, D., &amp; Griffin, B. A. (2017). The right tool for the job: Choosing between covariate balancing and generalized boosted model propensity scores. </w:t>
      </w:r>
      <w:r w:rsidRPr="00631FCB">
        <w:rPr>
          <w:i/>
        </w:rPr>
        <w:t>Epidemiology (Cambridge, Mass.)</w:t>
      </w:r>
      <w:r w:rsidRPr="00631FCB">
        <w:t>,</w:t>
      </w:r>
      <w:r w:rsidRPr="00631FCB">
        <w:rPr>
          <w:i/>
        </w:rPr>
        <w:t xml:space="preserve"> 28</w:t>
      </w:r>
      <w:r w:rsidRPr="00631FCB">
        <w:t xml:space="preserve">(6), 802. </w:t>
      </w:r>
    </w:p>
    <w:p w14:paraId="341EA229" w14:textId="1531AF12" w:rsidR="002D3639" w:rsidRPr="00AF03EE" w:rsidRDefault="00485D6E" w:rsidP="00AF03EE">
      <w:pPr>
        <w:tabs>
          <w:tab w:val="left" w:pos="6936"/>
        </w:tabs>
      </w:pPr>
      <w:r>
        <w:fldChar w:fldCharType="end"/>
      </w:r>
    </w:p>
    <w:sectPr w:rsidR="002D3639"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1&lt;/item&gt;&lt;item&gt;63&lt;/item&gt;&lt;item&gt;68&lt;/item&gt;&lt;item&gt;69&lt;/item&gt;&lt;/record-ids&gt;&lt;/item&gt;&lt;/Libraries&gt;"/>
  </w:docVars>
  <w:rsids>
    <w:rsidRoot w:val="000E750E"/>
    <w:rsid w:val="00000D82"/>
    <w:rsid w:val="0003573E"/>
    <w:rsid w:val="00065819"/>
    <w:rsid w:val="0006789A"/>
    <w:rsid w:val="000A2DF6"/>
    <w:rsid w:val="000C15CF"/>
    <w:rsid w:val="000E750E"/>
    <w:rsid w:val="00107437"/>
    <w:rsid w:val="00122808"/>
    <w:rsid w:val="00141290"/>
    <w:rsid w:val="00152DF4"/>
    <w:rsid w:val="00156533"/>
    <w:rsid w:val="00171563"/>
    <w:rsid w:val="001A4AA9"/>
    <w:rsid w:val="001B508B"/>
    <w:rsid w:val="002D3639"/>
    <w:rsid w:val="00343D29"/>
    <w:rsid w:val="00345D96"/>
    <w:rsid w:val="00347571"/>
    <w:rsid w:val="00352824"/>
    <w:rsid w:val="00374208"/>
    <w:rsid w:val="003B4DD9"/>
    <w:rsid w:val="003C0EAF"/>
    <w:rsid w:val="003D0AF0"/>
    <w:rsid w:val="003F3415"/>
    <w:rsid w:val="003F52CF"/>
    <w:rsid w:val="004043F1"/>
    <w:rsid w:val="00437151"/>
    <w:rsid w:val="00485D6E"/>
    <w:rsid w:val="00493854"/>
    <w:rsid w:val="004D42FE"/>
    <w:rsid w:val="004D6919"/>
    <w:rsid w:val="004E6F93"/>
    <w:rsid w:val="004E736A"/>
    <w:rsid w:val="004F1596"/>
    <w:rsid w:val="004F6799"/>
    <w:rsid w:val="0054733E"/>
    <w:rsid w:val="005813BD"/>
    <w:rsid w:val="00582406"/>
    <w:rsid w:val="00584C19"/>
    <w:rsid w:val="00597D83"/>
    <w:rsid w:val="005B0F77"/>
    <w:rsid w:val="005C0583"/>
    <w:rsid w:val="005F136A"/>
    <w:rsid w:val="00603E49"/>
    <w:rsid w:val="00610A64"/>
    <w:rsid w:val="00624DFA"/>
    <w:rsid w:val="00631FCB"/>
    <w:rsid w:val="006E27FD"/>
    <w:rsid w:val="006F1D42"/>
    <w:rsid w:val="006F4468"/>
    <w:rsid w:val="0071490D"/>
    <w:rsid w:val="00771FDC"/>
    <w:rsid w:val="007927EB"/>
    <w:rsid w:val="007A12E7"/>
    <w:rsid w:val="007A2BAB"/>
    <w:rsid w:val="007B1816"/>
    <w:rsid w:val="007D1133"/>
    <w:rsid w:val="007D1A74"/>
    <w:rsid w:val="007F45DB"/>
    <w:rsid w:val="007F78F1"/>
    <w:rsid w:val="00803A43"/>
    <w:rsid w:val="00826754"/>
    <w:rsid w:val="008319F8"/>
    <w:rsid w:val="008A12DD"/>
    <w:rsid w:val="008B5A88"/>
    <w:rsid w:val="008E1D18"/>
    <w:rsid w:val="009124DC"/>
    <w:rsid w:val="00926BCF"/>
    <w:rsid w:val="00933F1B"/>
    <w:rsid w:val="00946809"/>
    <w:rsid w:val="00955219"/>
    <w:rsid w:val="009A1276"/>
    <w:rsid w:val="009B535C"/>
    <w:rsid w:val="009B5835"/>
    <w:rsid w:val="009D1779"/>
    <w:rsid w:val="009D3B6D"/>
    <w:rsid w:val="00A310DD"/>
    <w:rsid w:val="00A76ABE"/>
    <w:rsid w:val="00A91612"/>
    <w:rsid w:val="00AB0A03"/>
    <w:rsid w:val="00AB3ABC"/>
    <w:rsid w:val="00AC03A1"/>
    <w:rsid w:val="00AC4A78"/>
    <w:rsid w:val="00AD7571"/>
    <w:rsid w:val="00AF03EE"/>
    <w:rsid w:val="00B045F5"/>
    <w:rsid w:val="00B43E19"/>
    <w:rsid w:val="00B917C0"/>
    <w:rsid w:val="00BD0CC9"/>
    <w:rsid w:val="00C22DB4"/>
    <w:rsid w:val="00C506C7"/>
    <w:rsid w:val="00C51F0B"/>
    <w:rsid w:val="00C775FC"/>
    <w:rsid w:val="00C9103A"/>
    <w:rsid w:val="00C974BD"/>
    <w:rsid w:val="00CD3197"/>
    <w:rsid w:val="00CF010F"/>
    <w:rsid w:val="00CF4D5B"/>
    <w:rsid w:val="00D129F7"/>
    <w:rsid w:val="00D24F86"/>
    <w:rsid w:val="00D663D5"/>
    <w:rsid w:val="00D7538C"/>
    <w:rsid w:val="00DA49EA"/>
    <w:rsid w:val="00DC565B"/>
    <w:rsid w:val="00E04424"/>
    <w:rsid w:val="00E22D7F"/>
    <w:rsid w:val="00E239C9"/>
    <w:rsid w:val="00E31B92"/>
    <w:rsid w:val="00E43E63"/>
    <w:rsid w:val="00E8113E"/>
    <w:rsid w:val="00E94701"/>
    <w:rsid w:val="00E953E9"/>
    <w:rsid w:val="00E95721"/>
    <w:rsid w:val="00EC1816"/>
    <w:rsid w:val="00ED2A11"/>
    <w:rsid w:val="00EF70E0"/>
    <w:rsid w:val="00F01209"/>
    <w:rsid w:val="00F40811"/>
    <w:rsid w:val="00F86C0C"/>
    <w:rsid w:val="00FB37F9"/>
    <w:rsid w:val="00FB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5</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42</cp:revision>
  <dcterms:created xsi:type="dcterms:W3CDTF">2022-10-06T17:21:00Z</dcterms:created>
  <dcterms:modified xsi:type="dcterms:W3CDTF">2023-01-23T23:57:00Z</dcterms:modified>
</cp:coreProperties>
</file>