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4029EA19"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SUPPLEMENTARY</w:t>
      </w:r>
    </w:p>
    <w:p w14:paraId="23068A24" w14:textId="4CEE4C3D" w:rsidR="00BE7ECA" w:rsidRPr="00555D97" w:rsidRDefault="00BE7ECA" w:rsidP="00555D97">
      <w:pPr>
        <w:spacing w:line="480" w:lineRule="auto"/>
        <w:rPr>
          <w:rFonts w:ascii="Times New Roman" w:hAnsi="Times New Roman" w:cs="Times New Roman"/>
          <w:sz w:val="24"/>
          <w:szCs w:val="24"/>
        </w:rPr>
      </w:pPr>
    </w:p>
    <w:p w14:paraId="6CEF8CBC" w14:textId="40A3D374"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A</w:t>
      </w:r>
    </w:p>
    <w:p w14:paraId="232F85FF" w14:textId="781A2392"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mice</w:t>
      </w:r>
      <w:r w:rsidRPr="00555D97">
        <w:rPr>
          <w:rFonts w:ascii="Times New Roman" w:hAnsi="Times New Roman" w:cs="Times New Roman"/>
          <w:sz w:val="24"/>
          <w:szCs w:val="24"/>
        </w:rPr>
        <w:t xml:space="preserve">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(Van Buuren &amp; Groothuis-Oudshoorn, 2011)</w:t>
      </w:r>
      <w:r w:rsidRPr="00555D97">
        <w:rPr>
          <w:rFonts w:ascii="Times New Roman" w:hAnsi="Times New Roman" w:cs="Times New Roman"/>
          <w:sz w:val="24"/>
          <w:szCs w:val="24"/>
        </w:rPr>
        <w:fldChar w:fldCharType="end"/>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with number of imputations set to 5. Multiple imputation preserves the sample size while accounting for uncertainty by incorporating randomness in missing value estimation with multiple data sets. Covariate balancing propensity scores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(Imai &amp; Ratkovic, 2014)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were used to estimate propensity weights on each imputed dataset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 xml:space="preserve">WeightThem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(Pishgar et al., 2020)</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and the results were combined using the </w:t>
      </w:r>
      <w:r w:rsidRPr="00555D97">
        <w:rPr>
          <w:rFonts w:ascii="Times New Roman" w:hAnsi="Times New Roman" w:cs="Times New Roman"/>
          <w:i/>
          <w:iCs/>
          <w:sz w:val="24"/>
          <w:szCs w:val="24"/>
        </w:rPr>
        <w:t>Within</w:t>
      </w:r>
      <w:r w:rsidRPr="00555D97">
        <w:rPr>
          <w:rFonts w:ascii="Times New Roman" w:hAnsi="Times New Roman" w:cs="Times New Roman"/>
          <w:sz w:val="24"/>
          <w:szCs w:val="24"/>
        </w:rPr>
        <w:t xml:space="preserve"> approach</w:t>
      </w:r>
      <w:r w:rsidRPr="00555D97">
        <w:rPr>
          <w:rFonts w:ascii="Times New Roman" w:hAnsi="Times New Roman" w:cs="Times New Roman"/>
          <w:noProof/>
          <w:sz w:val="24"/>
          <w:szCs w:val="24"/>
        </w:rPr>
        <w:t xml:space="preserve"> </w:t>
      </w:r>
      <w:r w:rsidRPr="00555D97">
        <w:rPr>
          <w:rFonts w:ascii="Times New Roman" w:hAnsi="Times New Roman" w:cs="Times New Roman"/>
          <w:sz w:val="24"/>
          <w:szCs w:val="24"/>
        </w:rPr>
        <w:t xml:space="preserve">where weights are estimated for each imputed data set, exposure effects are computed for each individual data set and then the coefficients and standard errors are subsequently pooled using Rubin’s Rules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(Rubin, 2004)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to produce a point estimate of the exposure effect. The within approach demonstrates unbiased estimates when compared to other approaches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(Granger et al., 2019; Leyrat et al., 2019)</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t>
      </w:r>
    </w:p>
    <w:p w14:paraId="0F9468AC" w14:textId="4B8051D8" w:rsidR="00BE7ECA" w:rsidRPr="00555D97" w:rsidRDefault="00BE7ECA" w:rsidP="00555D97">
      <w:pPr>
        <w:spacing w:line="480" w:lineRule="auto"/>
        <w:rPr>
          <w:rFonts w:ascii="Times New Roman" w:hAnsi="Times New Roman" w:cs="Times New Roman"/>
          <w:sz w:val="24"/>
          <w:szCs w:val="24"/>
        </w:rPr>
      </w:pPr>
    </w:p>
    <w:p w14:paraId="14D0B0A0" w14:textId="3252953E"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B</w:t>
      </w:r>
    </w:p>
    <w:p w14:paraId="466F7C37" w14:textId="4CC14240" w:rsidR="00BE7ECA" w:rsidRPr="00555D97" w:rsidRDefault="00BE7ECA"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Covariate balancing was assessed using the R package</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i/>
          <w:iCs/>
          <w:sz w:val="24"/>
          <w:szCs w:val="24"/>
        </w:rPr>
        <w:t>cobalt</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sz w:val="24"/>
          <w:szCs w:val="24"/>
        </w:rPr>
        <w:fldChar w:fldCharType="begin"/>
      </w:r>
      <w:r w:rsidR="001E2D83" w:rsidRPr="00555D97">
        <w:rPr>
          <w:rFonts w:ascii="Times New Roman" w:hAnsi="Times New Roman" w:cs="Times New Roman"/>
          <w:sz w:val="24"/>
          <w:szCs w:val="24"/>
        </w:rPr>
        <w:instrText xml:space="preserve"> ADDIN EN.CITE &lt;EndNote&gt;&lt;Cite&gt;&lt;Author&gt;Greifer&lt;/Author&gt;&lt;Year&gt;2022&lt;/Year&gt;&lt;RecNum&gt;146&lt;/RecNum&gt;&lt;DisplayText&gt;(Greifer, 2022)&lt;/DisplayText&gt;&lt;record&gt;&lt;rec-number&gt;146&lt;/rec-number&gt;&lt;foreign-keys&gt;&lt;key app="EN" db-id="vda2pvwscxarw9e0z24p90wxpr2wfdzp2a0w" timestamp="1677067487"&gt;146&lt;/key&gt;&lt;/foreign-keys&gt;&lt;ref-type name="Journal Article"&gt;17&lt;/ref-type&gt;&lt;contributors&gt;&lt;authors&gt;&lt;author&gt;Greifer, Noah&lt;/author&gt;&lt;/authors&gt;&lt;/contributors&gt;&lt;titles&gt;&lt;title&gt;cobalt: Covariate balance tables and plots&lt;/title&gt;&lt;secondary-title&gt;R package version&lt;/secondary-title&gt;&lt;/titles&gt;&lt;periodical&gt;&lt;full-title&gt;R package version&lt;/full-title&gt;&lt;/periodical&gt;&lt;volume&gt;4.4.1&lt;/volume&gt;&lt;dates&gt;&lt;year&gt;2022&lt;/year&gt;&lt;/dates&gt;&lt;urls&gt;&lt;/urls&gt;&lt;/record&gt;&lt;/Cite&gt;&lt;/EndNote&gt;</w:instrText>
      </w:r>
      <w:r w:rsidR="001E2D83" w:rsidRPr="00555D97">
        <w:rPr>
          <w:rFonts w:ascii="Times New Roman" w:hAnsi="Times New Roman" w:cs="Times New Roman"/>
          <w:sz w:val="24"/>
          <w:szCs w:val="24"/>
        </w:rPr>
        <w:fldChar w:fldCharType="separate"/>
      </w:r>
      <w:r w:rsidR="001E2D83" w:rsidRPr="00555D97">
        <w:rPr>
          <w:rFonts w:ascii="Times New Roman" w:hAnsi="Times New Roman" w:cs="Times New Roman"/>
          <w:noProof/>
          <w:sz w:val="24"/>
          <w:szCs w:val="24"/>
        </w:rPr>
        <w:t>(Greifer, 2022)</w:t>
      </w:r>
      <w:r w:rsidR="001E2D83" w:rsidRPr="00555D97">
        <w:rPr>
          <w:rFonts w:ascii="Times New Roman" w:hAnsi="Times New Roman" w:cs="Times New Roman"/>
          <w:sz w:val="24"/>
          <w:szCs w:val="24"/>
        </w:rPr>
        <w:fldChar w:fldCharType="end"/>
      </w:r>
      <w:r w:rsidR="001E2D83" w:rsidRPr="00555D97">
        <w:rPr>
          <w:rFonts w:ascii="Times New Roman" w:hAnsi="Times New Roman" w:cs="Times New Roman"/>
          <w:sz w:val="24"/>
          <w:szCs w:val="24"/>
        </w:rPr>
        <w:t>. Pre-weighting and imputation assessment indicated 11/41 covariates level were not balanced. After GBM weighting, perfect balance was achieved across all covariate levels</w:t>
      </w:r>
      <w:r w:rsidR="00E62D24">
        <w:rPr>
          <w:rFonts w:ascii="Times New Roman" w:hAnsi="Times New Roman" w:cs="Times New Roman"/>
          <w:sz w:val="24"/>
          <w:szCs w:val="24"/>
        </w:rPr>
        <w:t xml:space="preserve"> using a threshold of  &gt; 0.05 for both statistics computed</w:t>
      </w:r>
      <w:r w:rsidR="001E2D83" w:rsidRPr="00555D97">
        <w:rPr>
          <w:rFonts w:ascii="Times New Roman" w:hAnsi="Times New Roman" w:cs="Times New Roman"/>
          <w:sz w:val="24"/>
          <w:szCs w:val="24"/>
        </w:rPr>
        <w:t>.</w:t>
      </w:r>
      <w:r w:rsidR="00446146" w:rsidRPr="00555D97">
        <w:rPr>
          <w:rFonts w:ascii="Times New Roman" w:hAnsi="Times New Roman" w:cs="Times New Roman"/>
          <w:sz w:val="24"/>
          <w:szCs w:val="24"/>
        </w:rPr>
        <w:t xml:space="preserve"> After multiple imputation and covariate balancing propensity score </w:t>
      </w:r>
      <w:r w:rsidR="00446146" w:rsidRPr="00555D97">
        <w:rPr>
          <w:rFonts w:ascii="Times New Roman" w:hAnsi="Times New Roman" w:cs="Times New Roman"/>
          <w:sz w:val="24"/>
          <w:szCs w:val="24"/>
        </w:rPr>
        <w:lastRenderedPageBreak/>
        <w:t>weighting, perfect covariate balance was also achieved. Both love plots are shown in Figures 1 &amp; 2</w:t>
      </w:r>
      <w:r w:rsidR="00E62D24">
        <w:rPr>
          <w:rFonts w:ascii="Times New Roman" w:hAnsi="Times New Roman" w:cs="Times New Roman"/>
          <w:sz w:val="24"/>
          <w:szCs w:val="24"/>
        </w:rPr>
        <w:t xml:space="preserve"> to visualize the standardized mean differences of covariates before and after weighting.</w:t>
      </w:r>
    </w:p>
    <w:p w14:paraId="7861D3A4" w14:textId="77777777" w:rsidR="00D22FE8" w:rsidRPr="00555D97" w:rsidRDefault="00D22FE8" w:rsidP="00555D97">
      <w:pPr>
        <w:spacing w:line="480" w:lineRule="auto"/>
        <w:rPr>
          <w:rFonts w:ascii="Times New Roman" w:hAnsi="Times New Roman" w:cs="Times New Roman"/>
          <w:sz w:val="24"/>
          <w:szCs w:val="24"/>
        </w:rPr>
      </w:pPr>
    </w:p>
    <w:p w14:paraId="33E2F74E" w14:textId="77777777" w:rsidR="00D22FE8" w:rsidRPr="00555D97" w:rsidRDefault="00D22FE8" w:rsidP="00555D97">
      <w:pPr>
        <w:spacing w:line="480" w:lineRule="auto"/>
        <w:rPr>
          <w:rFonts w:ascii="Times New Roman" w:hAnsi="Times New Roman" w:cs="Times New Roman"/>
          <w:sz w:val="24"/>
          <w:szCs w:val="24"/>
        </w:rPr>
      </w:pPr>
    </w:p>
    <w:p w14:paraId="4B012184" w14:textId="77777777" w:rsidR="001E2D83" w:rsidRPr="00555D97" w:rsidRDefault="00D22FE8"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EN.REFLIST </w:instrText>
      </w:r>
      <w:r w:rsidRPr="00555D97">
        <w:rPr>
          <w:rFonts w:ascii="Times New Roman" w:hAnsi="Times New Roman" w:cs="Times New Roman"/>
          <w:sz w:val="24"/>
          <w:szCs w:val="24"/>
        </w:rPr>
        <w:fldChar w:fldCharType="separate"/>
      </w:r>
      <w:r w:rsidR="001E2D83" w:rsidRPr="00555D97">
        <w:rPr>
          <w:rFonts w:ascii="Times New Roman" w:hAnsi="Times New Roman" w:cs="Times New Roman"/>
          <w:sz w:val="24"/>
          <w:szCs w:val="24"/>
        </w:rPr>
        <w:t xml:space="preserve">Granger, E., Sergeant, J. C., &amp; Lunt, M. (2019). Avoiding pitfalls when combining multiple imputation and propensity scores. </w:t>
      </w:r>
      <w:r w:rsidR="001E2D83" w:rsidRPr="00555D97">
        <w:rPr>
          <w:rFonts w:ascii="Times New Roman" w:hAnsi="Times New Roman" w:cs="Times New Roman"/>
          <w:i/>
          <w:sz w:val="24"/>
          <w:szCs w:val="24"/>
        </w:rPr>
        <w:t>Statistics in medicine</w:t>
      </w:r>
      <w:r w:rsidR="001E2D83" w:rsidRPr="00555D97">
        <w:rPr>
          <w:rFonts w:ascii="Times New Roman" w:hAnsi="Times New Roman" w:cs="Times New Roman"/>
          <w:sz w:val="24"/>
          <w:szCs w:val="24"/>
        </w:rPr>
        <w:t>,</w:t>
      </w:r>
      <w:r w:rsidR="001E2D83" w:rsidRPr="00555D97">
        <w:rPr>
          <w:rFonts w:ascii="Times New Roman" w:hAnsi="Times New Roman" w:cs="Times New Roman"/>
          <w:i/>
          <w:sz w:val="24"/>
          <w:szCs w:val="24"/>
        </w:rPr>
        <w:t xml:space="preserve"> 38</w:t>
      </w:r>
      <w:r w:rsidR="001E2D83" w:rsidRPr="00555D97">
        <w:rPr>
          <w:rFonts w:ascii="Times New Roman" w:hAnsi="Times New Roman" w:cs="Times New Roman"/>
          <w:sz w:val="24"/>
          <w:szCs w:val="24"/>
        </w:rPr>
        <w:t xml:space="preserve">(26), 5120-5132. </w:t>
      </w:r>
    </w:p>
    <w:p w14:paraId="67242F5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Greifer, N. (2022). cobalt: Covariate balance tables and plots. </w:t>
      </w:r>
      <w:r w:rsidRPr="00555D97">
        <w:rPr>
          <w:rFonts w:ascii="Times New Roman" w:hAnsi="Times New Roman" w:cs="Times New Roman"/>
          <w:i/>
          <w:sz w:val="24"/>
          <w:szCs w:val="24"/>
        </w:rPr>
        <w:t>R package version</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4.4.1</w:t>
      </w:r>
      <w:r w:rsidRPr="00555D97">
        <w:rPr>
          <w:rFonts w:ascii="Times New Roman" w:hAnsi="Times New Roman" w:cs="Times New Roman"/>
          <w:sz w:val="24"/>
          <w:szCs w:val="24"/>
        </w:rPr>
        <w:t xml:space="preserve">. </w:t>
      </w:r>
    </w:p>
    <w:p w14:paraId="12B452A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Imai, K., &amp; Ratkovic, M. (2014). Covariate balancing propensity score. </w:t>
      </w:r>
      <w:r w:rsidRPr="00555D97">
        <w:rPr>
          <w:rFonts w:ascii="Times New Roman" w:hAnsi="Times New Roman" w:cs="Times New Roman"/>
          <w:i/>
          <w:sz w:val="24"/>
          <w:szCs w:val="24"/>
        </w:rPr>
        <w:t>Journal of the Royal Statistical Society: Series B (Statistical Methodology)</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76</w:t>
      </w:r>
      <w:r w:rsidRPr="00555D97">
        <w:rPr>
          <w:rFonts w:ascii="Times New Roman" w:hAnsi="Times New Roman" w:cs="Times New Roman"/>
          <w:sz w:val="24"/>
          <w:szCs w:val="24"/>
        </w:rPr>
        <w:t xml:space="preserve">(1), 243-263. </w:t>
      </w:r>
    </w:p>
    <w:p w14:paraId="1C4579A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Leyrat, C., Seaman, S. R., White, I. R., Douglas, I., Smeeth, L., Kim, J., Resche-Rigon, M., Carpenter, J. R., &amp; Williamson, E. J. (2019). Propensity score analysis with partially observed covariates: How should multiple imputation be used? </w:t>
      </w:r>
      <w:r w:rsidRPr="00555D97">
        <w:rPr>
          <w:rFonts w:ascii="Times New Roman" w:hAnsi="Times New Roman" w:cs="Times New Roman"/>
          <w:i/>
          <w:sz w:val="24"/>
          <w:szCs w:val="24"/>
        </w:rPr>
        <w:t>Statistical methods in medical research</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28</w:t>
      </w:r>
      <w:r w:rsidRPr="00555D97">
        <w:rPr>
          <w:rFonts w:ascii="Times New Roman" w:hAnsi="Times New Roman" w:cs="Times New Roman"/>
          <w:sz w:val="24"/>
          <w:szCs w:val="24"/>
        </w:rPr>
        <w:t xml:space="preserve">(1), 3-19. </w:t>
      </w:r>
    </w:p>
    <w:p w14:paraId="218B02C5"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Pishgar, F., Greifer, N., Leyrat, C., &amp; Stuart, E. (2020). MatchThem:: matching and weighting after multiple imputation. </w:t>
      </w:r>
      <w:r w:rsidRPr="00555D97">
        <w:rPr>
          <w:rFonts w:ascii="Times New Roman" w:hAnsi="Times New Roman" w:cs="Times New Roman"/>
          <w:i/>
          <w:sz w:val="24"/>
          <w:szCs w:val="24"/>
        </w:rPr>
        <w:t>arXiv preprint arXiv:2009.11772</w:t>
      </w:r>
      <w:r w:rsidRPr="00555D97">
        <w:rPr>
          <w:rFonts w:ascii="Times New Roman" w:hAnsi="Times New Roman" w:cs="Times New Roman"/>
          <w:sz w:val="24"/>
          <w:szCs w:val="24"/>
        </w:rPr>
        <w:t xml:space="preserve">. </w:t>
      </w:r>
    </w:p>
    <w:p w14:paraId="35879B7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Rubin, D. B. (2004). </w:t>
      </w:r>
      <w:r w:rsidRPr="00555D97">
        <w:rPr>
          <w:rFonts w:ascii="Times New Roman" w:hAnsi="Times New Roman" w:cs="Times New Roman"/>
          <w:i/>
          <w:sz w:val="24"/>
          <w:szCs w:val="24"/>
        </w:rPr>
        <w:t>Multiple imputation for nonresponse in surveys</w:t>
      </w:r>
      <w:r w:rsidRPr="00555D97">
        <w:rPr>
          <w:rFonts w:ascii="Times New Roman" w:hAnsi="Times New Roman" w:cs="Times New Roman"/>
          <w:sz w:val="24"/>
          <w:szCs w:val="24"/>
        </w:rPr>
        <w:t xml:space="preserve"> (Vol. 81). John Wiley &amp; Sons. </w:t>
      </w:r>
    </w:p>
    <w:p w14:paraId="603ACFD3" w14:textId="77777777" w:rsidR="001E2D83" w:rsidRPr="00555D97" w:rsidRDefault="001E2D83" w:rsidP="00555D97">
      <w:pPr>
        <w:pStyle w:val="EndNoteBibliography"/>
        <w:spacing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Van Buuren, S., &amp; Groothuis-Oudshoorn, K. (2011). mice: Multivariate imputation by chained equations in R. </w:t>
      </w:r>
      <w:r w:rsidRPr="00555D97">
        <w:rPr>
          <w:rFonts w:ascii="Times New Roman" w:hAnsi="Times New Roman" w:cs="Times New Roman"/>
          <w:i/>
          <w:sz w:val="24"/>
          <w:szCs w:val="24"/>
        </w:rPr>
        <w:t>Journal of statistical software</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45</w:t>
      </w:r>
      <w:r w:rsidRPr="00555D97">
        <w:rPr>
          <w:rFonts w:ascii="Times New Roman" w:hAnsi="Times New Roman" w:cs="Times New Roman"/>
          <w:sz w:val="24"/>
          <w:szCs w:val="24"/>
        </w:rPr>
        <w:t xml:space="preserve">, 1-67. </w:t>
      </w:r>
    </w:p>
    <w:p w14:paraId="35CE7232" w14:textId="57A49FA7" w:rsidR="00666B2E"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fldChar w:fldCharType="end"/>
      </w:r>
    </w:p>
    <w:p w14:paraId="618DA66D" w14:textId="12369EDC" w:rsidR="004952A8" w:rsidRPr="00555D97" w:rsidRDefault="004952A8" w:rsidP="00555D97">
      <w:pPr>
        <w:spacing w:line="480" w:lineRule="auto"/>
        <w:rPr>
          <w:rFonts w:ascii="Times New Roman" w:hAnsi="Times New Roman" w:cs="Times New Roman"/>
          <w:sz w:val="24"/>
          <w:szCs w:val="24"/>
        </w:rPr>
      </w:pPr>
    </w:p>
    <w:p w14:paraId="547909AE" w14:textId="4275350C" w:rsidR="004952A8" w:rsidRPr="00555D97" w:rsidRDefault="004952A8" w:rsidP="00555D97">
      <w:pPr>
        <w:spacing w:line="480" w:lineRule="auto"/>
        <w:rPr>
          <w:rFonts w:ascii="Times New Roman" w:hAnsi="Times New Roman" w:cs="Times New Roman"/>
          <w:sz w:val="24"/>
          <w:szCs w:val="24"/>
        </w:rPr>
      </w:pPr>
    </w:p>
    <w:p w14:paraId="2580E939" w14:textId="72A2F8A2"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noProof/>
          <w:sz w:val="24"/>
          <w:szCs w:val="24"/>
        </w:rPr>
        <w:lastRenderedPageBreak/>
        <w:drawing>
          <wp:inline distT="0" distB="0" distL="0" distR="0" wp14:anchorId="26EDED6D" wp14:editId="1DA1CAF9">
            <wp:extent cx="5943600" cy="4003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003040"/>
                    </a:xfrm>
                    <a:prstGeom prst="rect">
                      <a:avLst/>
                    </a:prstGeom>
                  </pic:spPr>
                </pic:pic>
              </a:graphicData>
            </a:graphic>
          </wp:inline>
        </w:drawing>
      </w:r>
    </w:p>
    <w:p w14:paraId="71295D2E" w14:textId="1C73F822"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Figure 1. Love plot displaying covariate balance before and after GBM weighting.</w:t>
      </w:r>
    </w:p>
    <w:p w14:paraId="2802E913" w14:textId="45432411" w:rsidR="00446146" w:rsidRPr="00555D97"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noProof/>
          <w:sz w:val="24"/>
          <w:szCs w:val="24"/>
        </w:rPr>
        <w:lastRenderedPageBreak/>
        <w:drawing>
          <wp:inline distT="0" distB="0" distL="0" distR="0" wp14:anchorId="3E7ADB66" wp14:editId="0549D353">
            <wp:extent cx="594360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0935"/>
                    </a:xfrm>
                    <a:prstGeom prst="rect">
                      <a:avLst/>
                    </a:prstGeom>
                  </pic:spPr>
                </pic:pic>
              </a:graphicData>
            </a:graphic>
          </wp:inline>
        </w:drawing>
      </w:r>
    </w:p>
    <w:p w14:paraId="3BCB86D4" w14:textId="71168610" w:rsidR="00446146" w:rsidRPr="00555D97"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Figure 2. Love plot displaying covariate balance before and after multiple imputation and covariate balancing propensity score weighting.</w:t>
      </w:r>
    </w:p>
    <w:sectPr w:rsidR="00446146" w:rsidRPr="0055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7&lt;/item&gt;&lt;item&gt;146&lt;/item&gt;&lt;/record-ids&gt;&lt;/item&gt;&lt;/Libraries&gt;"/>
  </w:docVars>
  <w:rsids>
    <w:rsidRoot w:val="00FF29ED"/>
    <w:rsid w:val="001E2D83"/>
    <w:rsid w:val="00446146"/>
    <w:rsid w:val="004952A8"/>
    <w:rsid w:val="00555D97"/>
    <w:rsid w:val="00666B2E"/>
    <w:rsid w:val="00BE7ECA"/>
    <w:rsid w:val="00D22FE8"/>
    <w:rsid w:val="00E62D24"/>
    <w:rsid w:val="00EA0876"/>
    <w:rsid w:val="00F15550"/>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cp:revision>
  <dcterms:created xsi:type="dcterms:W3CDTF">2023-01-23T04:40:00Z</dcterms:created>
  <dcterms:modified xsi:type="dcterms:W3CDTF">2023-02-23T02:58:00Z</dcterms:modified>
</cp:coreProperties>
</file>