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C1830" w14:textId="37AC4742" w:rsidR="00233FFE" w:rsidRDefault="00233FFE" w:rsidP="00233FFE">
      <w:pPr>
        <w:spacing w:after="0" w:line="480" w:lineRule="auto"/>
        <w:jc w:val="center"/>
        <w:rPr>
          <w:rFonts w:ascii="Times New Roman" w:hAnsi="Times New Roman" w:cs="Times New Roman"/>
          <w:b/>
          <w:bCs/>
          <w:kern w:val="0"/>
          <w:sz w:val="24"/>
          <w:szCs w:val="24"/>
          <w14:ligatures w14:val="none"/>
        </w:rPr>
      </w:pPr>
      <w:r w:rsidRPr="00233FFE">
        <w:rPr>
          <w:rFonts w:ascii="Times New Roman" w:hAnsi="Times New Roman" w:cs="Times New Roman"/>
          <w:b/>
          <w:bCs/>
          <w:kern w:val="0"/>
          <w:sz w:val="24"/>
          <w:szCs w:val="24"/>
          <w14:ligatures w14:val="none"/>
        </w:rPr>
        <w:t>Associations between physical activity and subcategories of mental health: A propensity score analysis among a global sample of 341,956 adults</w:t>
      </w:r>
    </w:p>
    <w:p w14:paraId="5F5F88BB" w14:textId="706CCC07" w:rsidR="00233FFE" w:rsidRPr="00EE1D40" w:rsidRDefault="00233FFE" w:rsidP="00233FFE">
      <w:pPr>
        <w:spacing w:after="0" w:line="480" w:lineRule="auto"/>
        <w:jc w:val="center"/>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Abstract</w:t>
      </w:r>
    </w:p>
    <w:p w14:paraId="6F0D4EC7" w14:textId="77777777" w:rsidR="00233FFE" w:rsidRPr="00EE1D40" w:rsidRDefault="00233FFE" w:rsidP="00233FFE">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Background: Evidence indicates that physical activity (PA) can be a clinically useful and low-cost option for preventing and managing many mental health problems. Further investigation into which specific aspects of mental health are most influenced by PA can help to elucidate the differential effects that PA may confer.</w:t>
      </w:r>
    </w:p>
    <w:p w14:paraId="6C940C8B" w14:textId="77777777" w:rsidR="00233FFE" w:rsidRPr="00EE1D40" w:rsidRDefault="00233FFE" w:rsidP="00233FFE">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Purpose: This study used cross-sectional data from the Global Mind Project to investigate the </w:t>
      </w:r>
      <w:r>
        <w:rPr>
          <w:rFonts w:ascii="Times New Roman" w:hAnsi="Times New Roman" w:cs="Times New Roman"/>
          <w:kern w:val="0"/>
          <w:sz w:val="24"/>
          <w:szCs w:val="24"/>
          <w14:ligatures w14:val="none"/>
        </w:rPr>
        <w:t>association</w:t>
      </w:r>
      <w:r w:rsidRPr="00EE1D40">
        <w:rPr>
          <w:rFonts w:ascii="Times New Roman" w:hAnsi="Times New Roman" w:cs="Times New Roman"/>
          <w:kern w:val="0"/>
          <w:sz w:val="24"/>
          <w:szCs w:val="24"/>
          <w14:ligatures w14:val="none"/>
        </w:rPr>
        <w:t xml:space="preserve"> of PA on overall mental well-being and </w:t>
      </w:r>
      <w:r>
        <w:rPr>
          <w:rFonts w:ascii="Times New Roman" w:hAnsi="Times New Roman" w:cs="Times New Roman"/>
          <w:kern w:val="0"/>
          <w:sz w:val="24"/>
          <w:szCs w:val="24"/>
          <w14:ligatures w14:val="none"/>
        </w:rPr>
        <w:t>various</w:t>
      </w:r>
      <w:r w:rsidRPr="00EE1D40">
        <w:rPr>
          <w:rFonts w:ascii="Times New Roman" w:hAnsi="Times New Roman" w:cs="Times New Roman"/>
          <w:kern w:val="0"/>
          <w:sz w:val="24"/>
          <w:szCs w:val="24"/>
          <w14:ligatures w14:val="none"/>
        </w:rPr>
        <w:t xml:space="preserve"> subcategories of mental health across different adult age groups. </w:t>
      </w:r>
    </w:p>
    <w:p w14:paraId="06B23233" w14:textId="77777777" w:rsidR="00233FFE" w:rsidRPr="00EE1D40" w:rsidRDefault="00233FFE" w:rsidP="00233FFE">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Methods: Participants completed the 47-item Mental Health Quotient (MHQ) and reported how frequently they engaged in daily bouts of PA for 30 min or more. Weighted propensity score models were used to estimate the Average Treatment effect on the Control (ATC) of PA engagement on overall mental well-being as well as six subcategories of mental health.</w:t>
      </w:r>
    </w:p>
    <w:p w14:paraId="7D3C922F" w14:textId="4AFA837C" w:rsidR="00233FFE" w:rsidRPr="00EE1D40" w:rsidRDefault="00233FFE" w:rsidP="00233FFE">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Results: An estimated ATC of 17.</w:t>
      </w:r>
      <w:r w:rsidR="0027285F">
        <w:rPr>
          <w:rFonts w:ascii="Times New Roman" w:hAnsi="Times New Roman" w:cs="Times New Roman"/>
          <w:kern w:val="0"/>
          <w:sz w:val="24"/>
          <w:szCs w:val="24"/>
          <w14:ligatures w14:val="none"/>
        </w:rPr>
        <w:t>41</w:t>
      </w:r>
      <w:r w:rsidRPr="00EE1D40">
        <w:rPr>
          <w:rFonts w:ascii="Times New Roman" w:hAnsi="Times New Roman" w:cs="Times New Roman"/>
          <w:kern w:val="0"/>
          <w:sz w:val="24"/>
          <w:szCs w:val="24"/>
          <w14:ligatures w14:val="none"/>
        </w:rPr>
        <w:t xml:space="preserve"> was found for overall MHQ, corresponding to a standardized mean difference (SMD) of 0.25. Among the mental health subcategories, PA engagement was estimated to have the largest </w:t>
      </w:r>
      <w:r>
        <w:rPr>
          <w:rFonts w:ascii="Times New Roman" w:hAnsi="Times New Roman" w:cs="Times New Roman"/>
          <w:kern w:val="0"/>
          <w:sz w:val="24"/>
          <w:szCs w:val="24"/>
          <w14:ligatures w14:val="none"/>
        </w:rPr>
        <w:t>ATC</w:t>
      </w:r>
      <w:r w:rsidRPr="00EE1D40">
        <w:rPr>
          <w:rFonts w:ascii="Times New Roman" w:hAnsi="Times New Roman" w:cs="Times New Roman"/>
          <w:kern w:val="0"/>
          <w:sz w:val="24"/>
          <w:szCs w:val="24"/>
          <w14:ligatures w14:val="none"/>
        </w:rPr>
        <w:t xml:space="preserve"> for Mind-Body Connection (ATC=1</w:t>
      </w:r>
      <w:r w:rsidR="0027285F">
        <w:rPr>
          <w:rFonts w:ascii="Times New Roman" w:hAnsi="Times New Roman" w:cs="Times New Roman"/>
          <w:kern w:val="0"/>
          <w:sz w:val="24"/>
          <w:szCs w:val="24"/>
          <w14:ligatures w14:val="none"/>
        </w:rPr>
        <w:t>8</w:t>
      </w:r>
      <w:r w:rsidRPr="00EE1D40">
        <w:rPr>
          <w:rFonts w:ascii="Times New Roman" w:hAnsi="Times New Roman" w:cs="Times New Roman"/>
          <w:kern w:val="0"/>
          <w:sz w:val="24"/>
          <w:szCs w:val="24"/>
          <w14:ligatures w14:val="none"/>
        </w:rPr>
        <w:t>.</w:t>
      </w:r>
      <w:r w:rsidR="0027285F">
        <w:rPr>
          <w:rFonts w:ascii="Times New Roman" w:hAnsi="Times New Roman" w:cs="Times New Roman"/>
          <w:kern w:val="0"/>
          <w:sz w:val="24"/>
          <w:szCs w:val="24"/>
          <w14:ligatures w14:val="none"/>
        </w:rPr>
        <w:t>90</w:t>
      </w:r>
      <w:r w:rsidRPr="00EE1D40">
        <w:rPr>
          <w:rFonts w:ascii="Times New Roman" w:hAnsi="Times New Roman" w:cs="Times New Roman"/>
          <w:kern w:val="0"/>
          <w:sz w:val="24"/>
          <w:szCs w:val="24"/>
          <w14:ligatures w14:val="none"/>
        </w:rPr>
        <w:t>; SMD=0.3</w:t>
      </w:r>
      <w:r w:rsidR="0027285F">
        <w:rPr>
          <w:rFonts w:ascii="Times New Roman" w:hAnsi="Times New Roman" w:cs="Times New Roman"/>
          <w:kern w:val="0"/>
          <w:sz w:val="24"/>
          <w:szCs w:val="24"/>
          <w14:ligatures w14:val="none"/>
        </w:rPr>
        <w:t>0</w:t>
      </w:r>
      <w:r w:rsidRPr="00EE1D40">
        <w:rPr>
          <w:rFonts w:ascii="Times New Roman" w:hAnsi="Times New Roman" w:cs="Times New Roman"/>
          <w:kern w:val="0"/>
          <w:sz w:val="24"/>
          <w:szCs w:val="24"/>
          <w14:ligatures w14:val="none"/>
        </w:rPr>
        <w:t>), followed by Adaptability and Resilience (ATC=17.</w:t>
      </w:r>
      <w:r w:rsidR="0027285F">
        <w:rPr>
          <w:rFonts w:ascii="Times New Roman" w:hAnsi="Times New Roman" w:cs="Times New Roman"/>
          <w:kern w:val="0"/>
          <w:sz w:val="24"/>
          <w:szCs w:val="24"/>
          <w14:ligatures w14:val="none"/>
        </w:rPr>
        <w:t>09</w:t>
      </w:r>
      <w:r w:rsidRPr="00EE1D40">
        <w:rPr>
          <w:rFonts w:ascii="Times New Roman" w:hAnsi="Times New Roman" w:cs="Times New Roman"/>
          <w:kern w:val="0"/>
          <w:sz w:val="24"/>
          <w:szCs w:val="24"/>
          <w14:ligatures w14:val="none"/>
        </w:rPr>
        <w:t>; SMD=0.26), Core Cognition (ATC=16.</w:t>
      </w:r>
      <w:r w:rsidR="0027285F">
        <w:rPr>
          <w:rFonts w:ascii="Times New Roman" w:hAnsi="Times New Roman" w:cs="Times New Roman"/>
          <w:kern w:val="0"/>
          <w:sz w:val="24"/>
          <w:szCs w:val="24"/>
          <w14:ligatures w14:val="none"/>
        </w:rPr>
        <w:t>00</w:t>
      </w:r>
      <w:r w:rsidRPr="00EE1D40">
        <w:rPr>
          <w:rFonts w:ascii="Times New Roman" w:hAnsi="Times New Roman" w:cs="Times New Roman"/>
          <w:kern w:val="0"/>
          <w:sz w:val="24"/>
          <w:szCs w:val="24"/>
          <w14:ligatures w14:val="none"/>
        </w:rPr>
        <w:t>; SMD=0.2</w:t>
      </w:r>
      <w:r w:rsidR="0027285F">
        <w:rPr>
          <w:rFonts w:ascii="Times New Roman" w:hAnsi="Times New Roman" w:cs="Times New Roman"/>
          <w:kern w:val="0"/>
          <w:sz w:val="24"/>
          <w:szCs w:val="24"/>
          <w14:ligatures w14:val="none"/>
        </w:rPr>
        <w:t>4</w:t>
      </w:r>
      <w:r w:rsidRPr="00EE1D40">
        <w:rPr>
          <w:rFonts w:ascii="Times New Roman" w:hAnsi="Times New Roman" w:cs="Times New Roman"/>
          <w:kern w:val="0"/>
          <w:sz w:val="24"/>
          <w:szCs w:val="24"/>
          <w14:ligatures w14:val="none"/>
        </w:rPr>
        <w:t>), Drive and Motivation (ATC=15.</w:t>
      </w:r>
      <w:r w:rsidR="0027285F">
        <w:rPr>
          <w:rFonts w:ascii="Times New Roman" w:hAnsi="Times New Roman" w:cs="Times New Roman"/>
          <w:kern w:val="0"/>
          <w:sz w:val="24"/>
          <w:szCs w:val="24"/>
          <w14:ligatures w14:val="none"/>
        </w:rPr>
        <w:t>43</w:t>
      </w:r>
      <w:r w:rsidRPr="00EE1D40">
        <w:rPr>
          <w:rFonts w:ascii="Times New Roman" w:hAnsi="Times New Roman" w:cs="Times New Roman"/>
          <w:kern w:val="0"/>
          <w:sz w:val="24"/>
          <w:szCs w:val="24"/>
          <w14:ligatures w14:val="none"/>
        </w:rPr>
        <w:t>; SMD=0.24), Mood and Outlook (ATC=1</w:t>
      </w:r>
      <w:r w:rsidR="0027285F">
        <w:rPr>
          <w:rFonts w:ascii="Times New Roman" w:hAnsi="Times New Roman" w:cs="Times New Roman"/>
          <w:kern w:val="0"/>
          <w:sz w:val="24"/>
          <w:szCs w:val="24"/>
          <w14:ligatures w14:val="none"/>
        </w:rPr>
        <w:t>4</w:t>
      </w:r>
      <w:r w:rsidRPr="00EE1D40">
        <w:rPr>
          <w:rFonts w:ascii="Times New Roman" w:hAnsi="Times New Roman" w:cs="Times New Roman"/>
          <w:kern w:val="0"/>
          <w:sz w:val="24"/>
          <w:szCs w:val="24"/>
          <w14:ligatures w14:val="none"/>
        </w:rPr>
        <w:t>.</w:t>
      </w:r>
      <w:r w:rsidR="0027285F">
        <w:rPr>
          <w:rFonts w:ascii="Times New Roman" w:hAnsi="Times New Roman" w:cs="Times New Roman"/>
          <w:kern w:val="0"/>
          <w:sz w:val="24"/>
          <w:szCs w:val="24"/>
          <w14:ligatures w14:val="none"/>
        </w:rPr>
        <w:t>81</w:t>
      </w:r>
      <w:r w:rsidRPr="00EE1D40">
        <w:rPr>
          <w:rFonts w:ascii="Times New Roman" w:hAnsi="Times New Roman" w:cs="Times New Roman"/>
          <w:kern w:val="0"/>
          <w:sz w:val="24"/>
          <w:szCs w:val="24"/>
          <w14:ligatures w14:val="none"/>
        </w:rPr>
        <w:t>; SMD=0.2</w:t>
      </w:r>
      <w:r w:rsidR="0027285F">
        <w:rPr>
          <w:rFonts w:ascii="Times New Roman" w:hAnsi="Times New Roman" w:cs="Times New Roman"/>
          <w:kern w:val="0"/>
          <w:sz w:val="24"/>
          <w:szCs w:val="24"/>
          <w14:ligatures w14:val="none"/>
        </w:rPr>
        <w:t>1</w:t>
      </w:r>
      <w:r w:rsidRPr="00EE1D40">
        <w:rPr>
          <w:rFonts w:ascii="Times New Roman" w:hAnsi="Times New Roman" w:cs="Times New Roman"/>
          <w:kern w:val="0"/>
          <w:sz w:val="24"/>
          <w:szCs w:val="24"/>
          <w14:ligatures w14:val="none"/>
        </w:rPr>
        <w:t>), and Social Self (ATC=1</w:t>
      </w:r>
      <w:r w:rsidR="0027285F">
        <w:rPr>
          <w:rFonts w:ascii="Times New Roman" w:hAnsi="Times New Roman" w:cs="Times New Roman"/>
          <w:kern w:val="0"/>
          <w:sz w:val="24"/>
          <w:szCs w:val="24"/>
          <w14:ligatures w14:val="none"/>
        </w:rPr>
        <w:t>2</w:t>
      </w:r>
      <w:r w:rsidRPr="00EE1D40">
        <w:rPr>
          <w:rFonts w:ascii="Times New Roman" w:hAnsi="Times New Roman" w:cs="Times New Roman"/>
          <w:kern w:val="0"/>
          <w:sz w:val="24"/>
          <w:szCs w:val="24"/>
          <w14:ligatures w14:val="none"/>
        </w:rPr>
        <w:t>.</w:t>
      </w:r>
      <w:r w:rsidR="0027285F">
        <w:rPr>
          <w:rFonts w:ascii="Times New Roman" w:hAnsi="Times New Roman" w:cs="Times New Roman"/>
          <w:kern w:val="0"/>
          <w:sz w:val="24"/>
          <w:szCs w:val="24"/>
          <w14:ligatures w14:val="none"/>
        </w:rPr>
        <w:t>53</w:t>
      </w:r>
      <w:r w:rsidRPr="00EE1D40">
        <w:rPr>
          <w:rFonts w:ascii="Times New Roman" w:hAnsi="Times New Roman" w:cs="Times New Roman"/>
          <w:kern w:val="0"/>
          <w:sz w:val="24"/>
          <w:szCs w:val="24"/>
          <w14:ligatures w14:val="none"/>
        </w:rPr>
        <w:t>; SMD=0.17).</w:t>
      </w:r>
    </w:p>
    <w:p w14:paraId="36DD746F" w14:textId="17C1161B" w:rsidR="006F5A64" w:rsidRDefault="00233FFE" w:rsidP="00233FFE">
      <w:pPr>
        <w:spacing w:line="480" w:lineRule="auto"/>
      </w:pPr>
      <w:r w:rsidRPr="00EE1D40">
        <w:rPr>
          <w:rFonts w:ascii="Times New Roman" w:hAnsi="Times New Roman" w:cs="Times New Roman"/>
          <w:kern w:val="0"/>
          <w:sz w:val="24"/>
          <w:szCs w:val="24"/>
          <w14:ligatures w14:val="none"/>
        </w:rPr>
        <w:lastRenderedPageBreak/>
        <w:t xml:space="preserve">Conclusion: Our findings support the existing literature demonstrating an </w:t>
      </w:r>
      <w:r>
        <w:rPr>
          <w:rFonts w:ascii="Times New Roman" w:hAnsi="Times New Roman" w:cs="Times New Roman"/>
          <w:kern w:val="0"/>
          <w:sz w:val="24"/>
          <w:szCs w:val="24"/>
          <w14:ligatures w14:val="none"/>
        </w:rPr>
        <w:t>association of</w:t>
      </w:r>
      <w:r w:rsidRPr="00EE1D40">
        <w:rPr>
          <w:rFonts w:ascii="Times New Roman" w:hAnsi="Times New Roman" w:cs="Times New Roman"/>
          <w:kern w:val="0"/>
          <w:sz w:val="24"/>
          <w:szCs w:val="24"/>
          <w14:ligatures w14:val="none"/>
        </w:rPr>
        <w:t xml:space="preserve"> PA engagement on overall mental well-being, and builds on this work by revealing consistent effects that exist across </w:t>
      </w:r>
      <w:r>
        <w:rPr>
          <w:rFonts w:ascii="Times New Roman" w:hAnsi="Times New Roman" w:cs="Times New Roman"/>
          <w:kern w:val="0"/>
          <w:sz w:val="24"/>
          <w:szCs w:val="24"/>
          <w14:ligatures w14:val="none"/>
        </w:rPr>
        <w:t xml:space="preserve">various mental health </w:t>
      </w:r>
      <w:r w:rsidRPr="00EE1D40">
        <w:rPr>
          <w:rFonts w:ascii="Times New Roman" w:hAnsi="Times New Roman" w:cs="Times New Roman"/>
          <w:kern w:val="0"/>
          <w:sz w:val="24"/>
          <w:szCs w:val="24"/>
          <w14:ligatures w14:val="none"/>
        </w:rPr>
        <w:t>subcategories and the adult lifespan.</w:t>
      </w:r>
    </w:p>
    <w:sectPr w:rsidR="006F5A64" w:rsidSect="007F7CA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524"/>
    <w:rsid w:val="00233FFE"/>
    <w:rsid w:val="0027285F"/>
    <w:rsid w:val="006F5A64"/>
    <w:rsid w:val="007F7CA4"/>
    <w:rsid w:val="00C77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EAD57"/>
  <w15:chartTrackingRefBased/>
  <w15:docId w15:val="{3A5BE132-3147-46AE-98A2-4526647D4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F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33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3</cp:revision>
  <dcterms:created xsi:type="dcterms:W3CDTF">2023-08-25T16:20:00Z</dcterms:created>
  <dcterms:modified xsi:type="dcterms:W3CDTF">2024-01-19T20:56:00Z</dcterms:modified>
</cp:coreProperties>
</file>