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8A6D1E"/>
          <w:spacing w:val="40"/>
          <w:sz w:val="16"/>
          <w:szCs w:val="16"/>
        </w:rPr>
        <w:t xml:space="preserve">GUIDANCE NOTE — DRAFT</w:t>
      </w:r>
    </w:p>
    <w:p>
      <w:pPr>
        <w:pStyle w:val="Heading1"/>
        <w:spacing w:after="120"/>
      </w:pPr>
      <w:r>
        <w:rPr>
          <w:b/>
          <w:bCs/>
          <w:color w:val="1E5B3C"/>
          <w:sz w:val="40"/>
          <w:szCs w:val="40"/>
        </w:rPr>
        <w:t xml:space="preserve">Pool &amp; spa barriers — what the plans must show</w:t>
      </w:r>
    </w:p>
    <w:p>
      <w:pPr>
        <w:pBdr>
          <w:bottom w:val="single" w:color="D8E0D8" w:sz="6" w:space="8"/>
        </w:pBdr>
        <w:spacing w:after="260"/>
      </w:pPr>
      <w:r>
        <w:rPr>
          <w:i/>
          <w:iCs/>
          <w:color w:val="5B6660"/>
          <w:sz w:val="22"/>
          <w:szCs w:val="22"/>
        </w:rPr>
        <w:t xml:space="preserve">Barriers are assessed to AS 1926.1. These are the items that decide it.</w:t>
      </w:r>
    </w:p>
    <w:p>
      <w:pPr>
        <w:pBdr>
          <w:top w:val="none" w:color="auto" w:sz="0"/>
          <w:bottom w:val="none" w:color="auto" w:sz="0"/>
          <w:left w:val="single" w:color="1E5B3C" w:sz="18" w:space="10"/>
          <w:right w:val="none" w:color="auto" w:sz="0"/>
        </w:pBdr>
        <w:shd w:fill="F4F8F4" w:val="clear"/>
        <w:spacing w:after="200" w:before="200"/>
        <w:ind w:left="160" w:right="160"/>
      </w:pPr>
      <w:r>
        <w:rPr>
          <w:color w:val="1B2420"/>
          <w:sz w:val="21"/>
          <w:szCs w:val="21"/>
        </w:rPr>
        <w:t xml:space="preserve">DRAFT — NOT PUBLISHED. Figures below are the commonly applied AS 1926.1 requirements — the registered building surveyor to verify each against the current standard and WA regulations before release.</w:t>
      </w:r>
    </w:p>
    <w:p>
      <w:pPr>
        <w:pStyle w:val="Heading2"/>
        <w:spacing w:after="110" w:before="320"/>
      </w:pPr>
      <w:r>
        <w:rPr>
          <w:b/>
          <w:bCs/>
          <w:color w:val="1E5B3C"/>
          <w:sz w:val="24"/>
          <w:szCs w:val="24"/>
        </w:rPr>
        <w:t xml:space="preserve">The numbers that get checked every time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260"/>
      </w:tblGrid>
      <w:tr>
        <w:tc>
          <w:tcPr>
            <w:tcW w:type="dxa" w:w="3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B2420"/>
                <w:sz w:val="20"/>
                <w:szCs w:val="20"/>
              </w:rPr>
              <w:t xml:space="preserve">Barrier height</w:t>
            </w:r>
          </w:p>
        </w:tc>
        <w:tc>
          <w:tcPr>
            <w:tcW w:type="dxa" w:w="62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>Minimum </w:t>
            </w:r>
            <w:r>
              <w:rPr>
                <w:b/>
                <w:bCs/>
                <w:color w:val="1B2420"/>
                <w:sz w:val="20"/>
                <w:szCs w:val="20"/>
              </w:rPr>
              <w:t xml:space="preserve">1200 mm</w:t>
            </w:r>
            <w:r>
              <w:rPr>
                <w:color w:val="1B2420"/>
                <w:sz w:val="20"/>
                <w:szCs w:val="20"/>
              </w:rPr>
              <w:t xml:space="preserve">, measured on the outside (approach side), anywhere along the barrier.</w:t>
            </w:r>
          </w:p>
        </w:tc>
      </w:tr>
      <w:tr>
        <w:tc>
          <w:tcPr>
            <w:tcW w:type="dxa" w:w="3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B2420"/>
                <w:sz w:val="20"/>
                <w:szCs w:val="20"/>
              </w:rPr>
              <w:t xml:space="preserve">Gap under the barrier</w:t>
            </w:r>
          </w:p>
        </w:tc>
        <w:tc>
          <w:tcPr>
            <w:tcW w:type="dxa" w:w="62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>No more than </w:t>
            </w:r>
            <w:r>
              <w:rPr>
                <w:b/>
                <w:bCs/>
                <w:color w:val="1B2420"/>
                <w:sz w:val="20"/>
                <w:szCs w:val="20"/>
              </w:rPr>
              <w:t xml:space="preserve">100 mm</w:t>
            </w:r>
            <w:r>
              <w:rPr>
                <w:color w:val="1B2420"/>
                <w:sz w:val="20"/>
                <w:szCs w:val="20"/>
              </w:rPr>
              <w:t xml:space="preserve"> from finished ground.</w:t>
            </w:r>
          </w:p>
        </w:tc>
      </w:tr>
      <w:tr>
        <w:tc>
          <w:tcPr>
            <w:tcW w:type="dxa" w:w="3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B2420"/>
                <w:sz w:val="20"/>
                <w:szCs w:val="20"/>
              </w:rPr>
              <w:t xml:space="preserve">Non-climbable zone</w:t>
            </w:r>
          </w:p>
        </w:tc>
        <w:tc>
          <w:tcPr>
            <w:tcW w:type="dxa" w:w="62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>A </w:t>
            </w:r>
            <w:r>
              <w:rPr>
                <w:b/>
                <w:bCs/>
                <w:color w:val="1B2420"/>
                <w:sz w:val="20"/>
                <w:szCs w:val="20"/>
              </w:rPr>
              <w:t xml:space="preserve">900 mm</w:t>
            </w:r>
            <w:r>
              <w:rPr>
                <w:color w:val="1B2420"/>
                <w:sz w:val="20"/>
                <w:szCs w:val="20"/>
              </w:rPr>
              <w:t xml:space="preserve"> quadrant on the outside of the barrier clear of footholds — no horizontal rails, retaining, planters, BBQs or trees inside it.</w:t>
            </w:r>
          </w:p>
        </w:tc>
      </w:tr>
      <w:tr>
        <w:tc>
          <w:tcPr>
            <w:tcW w:type="dxa" w:w="3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B2420"/>
                <w:sz w:val="20"/>
                <w:szCs w:val="20"/>
              </w:rPr>
              <w:t xml:space="preserve">Gates</w:t>
            </w:r>
          </w:p>
        </w:tc>
        <w:tc>
          <w:tcPr>
            <w:tcW w:type="dxa" w:w="62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>Self-closing and self-latching from any position, opening </w:t>
            </w:r>
            <w:r>
              <w:rPr>
                <w:b/>
                <w:bCs/>
                <w:color w:val="1B2420"/>
                <w:sz w:val="20"/>
                <w:szCs w:val="20"/>
              </w:rPr>
              <w:t xml:space="preserve">away</w:t>
            </w:r>
            <w:r>
              <w:rPr>
                <w:color w:val="1B2420"/>
                <w:sz w:val="20"/>
                <w:szCs w:val="20"/>
              </w:rPr>
              <w:t xml:space="preserve"> from the pool, latch release at least </w:t>
            </w:r>
            <w:r>
              <w:rPr>
                <w:b/>
                <w:bCs/>
                <w:color w:val="1B2420"/>
                <w:sz w:val="20"/>
                <w:szCs w:val="20"/>
              </w:rPr>
              <w:t xml:space="preserve">1500 mm</w:t>
            </w:r>
            <w:r>
              <w:rPr>
                <w:color w:val="1B2420"/>
                <w:sz w:val="20"/>
                <w:szCs w:val="20"/>
              </w:rPr>
              <w:t xml:space="preserve"> above ground (or internally shielded).</w:t>
            </w:r>
          </w:p>
        </w:tc>
      </w:tr>
      <w:tr>
        <w:tc>
          <w:tcPr>
            <w:tcW w:type="dxa" w:w="3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B2420"/>
                <w:sz w:val="20"/>
                <w:szCs w:val="20"/>
              </w:rPr>
              <w:t xml:space="preserve">Boundary fence as barrier</w:t>
            </w:r>
          </w:p>
        </w:tc>
        <w:tc>
          <w:tcPr>
            <w:tcW w:type="dxa" w:w="62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>Effective height on the </w:t>
            </w:r>
            <w:r>
              <w:rPr>
                <w:i/>
                <w:iCs/>
                <w:color w:val="1B2420"/>
                <w:sz w:val="20"/>
                <w:szCs w:val="20"/>
              </w:rPr>
              <w:t xml:space="preserve">inside</w:t>
            </w:r>
            <w:r>
              <w:rPr>
                <w:color w:val="1B2420"/>
                <w:sz w:val="20"/>
                <w:szCs w:val="20"/>
              </w:rPr>
              <w:t xml:space="preserve"> of at least </w:t>
            </w:r>
            <w:r>
              <w:rPr>
                <w:b/>
                <w:bCs/>
                <w:color w:val="1B2420"/>
                <w:sz w:val="20"/>
                <w:szCs w:val="20"/>
              </w:rPr>
              <w:t xml:space="preserve">1800 mm</w:t>
            </w:r>
            <w:r>
              <w:rPr>
                <w:color w:val="1B2420"/>
                <w:sz w:val="20"/>
                <w:szCs w:val="20"/>
              </w:rPr>
              <w:t xml:space="preserve"> with its own non-climbable zone on the inside face. [Confirm quoted figure.]</w:t>
            </w:r>
          </w:p>
        </w:tc>
      </w:tr>
      <w:tr>
        <w:tc>
          <w:tcPr>
            <w:tcW w:type="dxa" w:w="3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B2420"/>
                <w:sz w:val="20"/>
                <w:szCs w:val="20"/>
              </w:rPr>
              <w:t xml:space="preserve">Windows &amp; doors</w:t>
            </w:r>
          </w:p>
        </w:tc>
        <w:tc>
          <w:tcPr>
            <w:tcW w:type="dxa" w:w="62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>Doors are not acceptable as part of the barrier for new pools; openable windows into the pool area are restricted. [Confirm current WA position wording.]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10" w:before="320"/>
      </w:pPr>
      <w:r>
        <w:rPr>
          <w:b/>
          <w:bCs/>
          <w:color w:val="1E5B3C"/>
          <w:sz w:val="24"/>
          <w:szCs w:val="24"/>
        </w:rPr>
        <w:t xml:space="preserve">What the site plan must show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The </w:t>
      </w:r>
      <w:r>
        <w:rPr>
          <w:b/>
          <w:bCs/>
          <w:color w:val="1B2420"/>
          <w:sz w:val="21"/>
          <w:szCs w:val="21"/>
        </w:rPr>
        <w:t xml:space="preserve">barrier line</w:t>
      </w:r>
      <w:r>
        <w:rPr>
          <w:color w:val="1B2420"/>
          <w:sz w:val="21"/>
          <w:szCs w:val="21"/>
        </w:rPr>
        <w:t xml:space="preserve"> drawn right around the pool zone — fences, walls, gates, and which existing fences are being relied 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B2420"/>
          <w:sz w:val="21"/>
          <w:szCs w:val="21"/>
        </w:rPr>
        <w:t xml:space="preserve">Gate positions and swing direction</w:t>
      </w:r>
      <w:r>
        <w:rPr>
          <w:color w:val="1B2420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B2420"/>
          <w:sz w:val="21"/>
          <w:szCs w:val="21"/>
        </w:rPr>
        <w:t xml:space="preserve">Heights</w:t>
      </w:r>
      <w:r>
        <w:rPr>
          <w:color w:val="1B2420"/>
          <w:sz w:val="21"/>
          <w:szCs w:val="21"/>
        </w:rPr>
        <w:t xml:space="preserve"> of every barrier element, including existing boundary fences being relied 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Anything inside the non-climbable zones — retaining, equipment, landscaping — so we can see it's clear.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The pool/spa itself dimensioned to boundaries, with the engineering or manufacturer's specification attached.</w:t>
      </w:r>
    </w:p>
    <w:p>
      <w:pPr>
        <w:pBdr>
          <w:top w:val="none" w:color="auto" w:sz="0"/>
          <w:bottom w:val="none" w:color="auto" w:sz="0"/>
          <w:left w:val="single" w:color="8A6D1E" w:sz="18" w:space="10"/>
          <w:right w:val="none" w:color="auto" w:sz="0"/>
        </w:pBdr>
        <w:shd w:fill="FBF4E6" w:val="clear"/>
        <w:spacing w:after="200" w:before="200"/>
        <w:ind w:left="160" w:right="160"/>
      </w:pPr>
      <w:r>
        <w:rPr>
          <w:b/>
          <w:bCs/>
          <w:color w:val="1B2420"/>
          <w:sz w:val="21"/>
          <w:szCs w:val="21"/>
        </w:rPr>
        <w:t xml:space="preserve">The common bounce:</w:t>
      </w:r>
      <w:r>
        <w:rPr>
          <w:color w:val="1B2420"/>
          <w:sz w:val="21"/>
          <w:szCs w:val="21"/>
        </w:rPr>
        <w:t xml:space="preserve"> a compliant fence with a climbable object beside it — a retaining wall, a raised planter, the filter box. Walk the barrier line on the plan and ask "could a five-year-old use this?" That's the assessment. </w:t>
      </w:r>
    </w:p>
    <w:p>
      <w:pPr>
        <w:pStyle w:val="Heading2"/>
        <w:spacing w:after="110" w:before="320"/>
      </w:pPr>
      <w:r>
        <w:rPr>
          <w:b/>
          <w:bCs/>
          <w:color w:val="1E5B3C"/>
          <w:sz w:val="24"/>
          <w:szCs w:val="24"/>
        </w:rPr>
        <w:t xml:space="preserve">After the permit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Local governments inspect pool barriers on an ongoing cycle after construction — keeping the barrier compliant is a permanent obligation, not a one-off. [Insert current WA inspection interval.]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B666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B6660"/>
        <w:sz w:val="16"/>
        <w:szCs w:val="16"/>
      </w:rPr>
      <w:t xml:space="preserve">CF Building Approvals — for editing; layout comes from the master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242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Pool &amp; spa barriers — what the plans must show</dc:title>
  <dc:creator>CF Building Approvals</dc:creator>
  <dc:description>Collateral sheet source, for editing. Hand it back and it goes into the printed PDF.</dc:description>
  <cp:lastModifiedBy>Un-named</cp:lastModifiedBy>
  <cp:revision>1</cp:revision>
  <dcterms:created xsi:type="dcterms:W3CDTF">2026-08-15T03:56:23.595Z</dcterms:created>
  <dcterms:modified xsi:type="dcterms:W3CDTF">2026-08-15T03:56:23.595Z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