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GUIDANCE NOTE 09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Swimming Pool &amp; Spa Barriers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Barriers are assessed to AS 1926.1. These are the items that decide it, and what your plans must show.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The Numbers That Get Checked Every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Barrier height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Minimum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1200 mm</w:t>
            </w:r>
            <w:r>
              <w:rPr>
                <w:color w:val="1B2420"/>
                <w:sz w:val="20"/>
                <w:szCs w:val="20"/>
              </w:rPr>
              <w:t xml:space="preserve">, measured on the outside (approach side), anywhere along the barrier.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Gap under the barrier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No more than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100 mm</w:t>
            </w:r>
            <w:r>
              <w:rPr>
                <w:color w:val="1B2420"/>
                <w:sz w:val="20"/>
                <w:szCs w:val="20"/>
              </w:rPr>
              <w:t xml:space="preserve"> from finished ground.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Non-climbable zone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A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900 mm</w:t>
            </w:r>
            <w:r>
              <w:rPr>
                <w:color w:val="1B2420"/>
                <w:sz w:val="20"/>
                <w:szCs w:val="20"/>
              </w:rPr>
              <w:t xml:space="preserve"> quadrant on the outside of the barrier clear of footholds — no horizontal rails, retaining, planters, BBQs or trees inside it.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Gates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Self-closing and self-latching from any position, opening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away</w:t>
            </w:r>
            <w:r>
              <w:rPr>
                <w:color w:val="1B2420"/>
                <w:sz w:val="20"/>
                <w:szCs w:val="20"/>
              </w:rPr>
              <w:t xml:space="preserve"> from the pool, latch release at least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1500 mm</w:t>
            </w:r>
            <w:r>
              <w:rPr>
                <w:color w:val="1B2420"/>
                <w:sz w:val="20"/>
                <w:szCs w:val="20"/>
              </w:rPr>
              <w:t xml:space="preserve"> above ground (or internally shielded).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Boundary fence as barrier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Effective height on the </w:t>
            </w:r>
            <w:r>
              <w:rPr>
                <w:i/>
                <w:iCs/>
                <w:color w:val="1B2420"/>
                <w:sz w:val="20"/>
                <w:szCs w:val="20"/>
              </w:rPr>
              <w:t xml:space="preserve">inside</w:t>
            </w:r>
            <w:r>
              <w:rPr>
                <w:color w:val="1B2420"/>
                <w:sz w:val="20"/>
                <w:szCs w:val="20"/>
              </w:rPr>
              <w:t xml:space="preserve"> of at least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1800 mm</w:t>
            </w:r>
            <w:r>
              <w:rPr>
                <w:color w:val="1B2420"/>
                <w:sz w:val="20"/>
                <w:szCs w:val="20"/>
              </w:rPr>
              <w:t xml:space="preserve">, with the non-climbable zone on the inside face.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Windows &amp; doors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Doors can't form part of the barrier for a new pool; openable windows into the pool area are restricted (limited opening or screened).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the Site Plan Must Show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</w:t>
      </w:r>
      <w:r>
        <w:rPr>
          <w:b/>
          <w:bCs/>
          <w:color w:val="1B2420"/>
          <w:sz w:val="21"/>
          <w:szCs w:val="21"/>
        </w:rPr>
        <w:t xml:space="preserve">barrier line</w:t>
      </w:r>
      <w:r>
        <w:rPr>
          <w:color w:val="1B2420"/>
          <w:sz w:val="21"/>
          <w:szCs w:val="21"/>
        </w:rPr>
        <w:t xml:space="preserve"> drawn right around the pool zone — fences, walls, gates, and which existing fences are being relied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Gate positions and swing direction</w:t>
      </w:r>
      <w:r>
        <w:rPr>
          <w:color w:val="1B242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Heights</w:t>
      </w:r>
      <w:r>
        <w:rPr>
          <w:color w:val="1B2420"/>
          <w:sz w:val="21"/>
          <w:szCs w:val="21"/>
        </w:rPr>
        <w:t xml:space="preserve"> of every barrier element, including existing boundary fences being relied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Anything inside the non-climbable zones — retaining, equipment, landscaping — so we can see it's clear.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pool or spa itself dimensioned to boundaries, with the engineering or manufacturer's specification attached.</w:t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The common bounce:</w:t>
      </w:r>
      <w:r>
        <w:rPr>
          <w:color w:val="1B2420"/>
          <w:sz w:val="21"/>
          <w:szCs w:val="21"/>
        </w:rPr>
        <w:t xml:space="preserve"> a compliant fence with a climbable object beside it — a retaining wall, a raised planter, the filter box. Walk the barrier line on the plan and ask "could a five-year-old use this?" That's the assessment. 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After the Permit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Pool barriers stay a permanent obligation, not a one-off: your local government inspects them on an ongoing cycle (at least once every four years in WA). Keep the barrier compliant as landscaping and fences change.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guidance note, for editing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Guidance note 09 — Swimming Pool &amp; Spa Barriers</dc:title>
  <dc:creator>CF Building Approvals</dc:creator>
  <dc:description>Guidance note source, for editing. Hand it back and it goes into the portal PDF.</dc:description>
  <cp:lastModifiedBy>Un-named</cp:lastModifiedBy>
  <cp:revision>1</cp:revision>
  <dcterms:created xsi:type="dcterms:W3CDTF">2026-08-03T00:22:58.202Z</dcterms:created>
  <dcterms:modified xsi:type="dcterms:W3CDTF">2026-08-03T00:22:58.202Z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