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8A6D1E"/>
          <w:spacing w:val="40"/>
          <w:sz w:val="16"/>
          <w:szCs w:val="16"/>
        </w:rPr>
        <w:t xml:space="preserve">GUIDANCE NOTE 09</w:t>
      </w:r>
    </w:p>
    <w:p>
      <w:pPr>
        <w:pStyle w:val="Heading1"/>
        <w:spacing w:after="120"/>
      </w:pPr>
      <w:r>
        <w:rPr>
          <w:b/>
          <w:bCs/>
          <w:color w:val="1E5B3C"/>
          <w:sz w:val="40"/>
          <w:szCs w:val="40"/>
        </w:rPr>
        <w:t xml:space="preserve">Swimming Pool &amp; Spa Barriers</w:t>
      </w:r>
    </w:p>
    <w:p>
      <w:pPr>
        <w:pBdr>
          <w:bottom w:val="single" w:color="D8E0D8" w:sz="6" w:space="8"/>
        </w:pBdr>
        <w:spacing w:after="260"/>
      </w:pPr>
      <w:r>
        <w:rPr>
          <w:i/>
          <w:iCs/>
          <w:color w:val="5B6660"/>
          <w:sz w:val="22"/>
          <w:szCs w:val="22"/>
        </w:rPr>
        <w:t xml:space="preserve">Barriers are assessed to AS 1926.1. These are the items that decide it, and what your plans must show.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The Numbers That Get Checked Every 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B2420"/>
                <w:sz w:val="20"/>
                <w:szCs w:val="20"/>
              </w:rPr>
              <w:t xml:space="preserve">Barrier height</w:t>
            </w:r>
          </w:p>
        </w:tc>
        <w:tc>
          <w:tcPr>
            <w:tcW w:type="dxa" w:w="62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420"/>
                <w:sz w:val="20"/>
                <w:szCs w:val="20"/>
              </w:rPr>
              <w:t xml:space="preserve">Minimum </w:t>
            </w:r>
            <w:r>
              <w:rPr>
                <w:b/>
                <w:bCs/>
                <w:color w:val="1B2420"/>
                <w:sz w:val="20"/>
                <w:szCs w:val="20"/>
              </w:rPr>
              <w:t xml:space="preserve">1200 mm</w:t>
            </w:r>
            <w:r>
              <w:rPr>
                <w:color w:val="1B2420"/>
                <w:sz w:val="20"/>
                <w:szCs w:val="20"/>
              </w:rPr>
              <w:t xml:space="preserve">, measured on the outside (approach side), anywhere along the barrier.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B2420"/>
                <w:sz w:val="20"/>
                <w:szCs w:val="20"/>
              </w:rPr>
              <w:t xml:space="preserve">Gap under the barrier</w:t>
            </w:r>
          </w:p>
        </w:tc>
        <w:tc>
          <w:tcPr>
            <w:tcW w:type="dxa" w:w="62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420"/>
                <w:sz w:val="20"/>
                <w:szCs w:val="20"/>
              </w:rPr>
              <w:t xml:space="preserve">No more than </w:t>
            </w:r>
            <w:r>
              <w:rPr>
                <w:b/>
                <w:bCs/>
                <w:color w:val="1B2420"/>
                <w:sz w:val="20"/>
                <w:szCs w:val="20"/>
              </w:rPr>
              <w:t xml:space="preserve">100 mm</w:t>
            </w:r>
            <w:r>
              <w:rPr>
                <w:color w:val="1B2420"/>
                <w:sz w:val="20"/>
                <w:szCs w:val="20"/>
              </w:rPr>
              <w:t xml:space="preserve"> from finished ground.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B2420"/>
                <w:sz w:val="20"/>
                <w:szCs w:val="20"/>
              </w:rPr>
              <w:t xml:space="preserve">Non-climbable zone</w:t>
            </w:r>
          </w:p>
        </w:tc>
        <w:tc>
          <w:tcPr>
            <w:tcW w:type="dxa" w:w="62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420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1B2420"/>
                <w:sz w:val="20"/>
                <w:szCs w:val="20"/>
              </w:rPr>
              <w:t xml:space="preserve">900 mm</w:t>
            </w:r>
            <w:r>
              <w:rPr>
                <w:color w:val="1B2420"/>
                <w:sz w:val="20"/>
                <w:szCs w:val="20"/>
              </w:rPr>
              <w:t xml:space="preserve"> quadrant on the outside of the barrier clear of footholds — no horizontal rails, retaining, planters, BBQs or trees inside it.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B2420"/>
                <w:sz w:val="20"/>
                <w:szCs w:val="20"/>
              </w:rPr>
              <w:t xml:space="preserve">Gates</w:t>
            </w:r>
          </w:p>
        </w:tc>
        <w:tc>
          <w:tcPr>
            <w:tcW w:type="dxa" w:w="62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420"/>
                <w:sz w:val="20"/>
                <w:szCs w:val="20"/>
              </w:rPr>
              <w:t xml:space="preserve">Self-closing and self-latching from any position, opening </w:t>
            </w:r>
            <w:r>
              <w:rPr>
                <w:b/>
                <w:bCs/>
                <w:color w:val="1B2420"/>
                <w:sz w:val="20"/>
                <w:szCs w:val="20"/>
              </w:rPr>
              <w:t xml:space="preserve">away</w:t>
            </w:r>
            <w:r>
              <w:rPr>
                <w:color w:val="1B2420"/>
                <w:sz w:val="20"/>
                <w:szCs w:val="20"/>
              </w:rPr>
              <w:t xml:space="preserve"> from the pool, latch release at least </w:t>
            </w:r>
            <w:r>
              <w:rPr>
                <w:b/>
                <w:bCs/>
                <w:color w:val="1B2420"/>
                <w:sz w:val="20"/>
                <w:szCs w:val="20"/>
              </w:rPr>
              <w:t xml:space="preserve">1500 mm</w:t>
            </w:r>
            <w:r>
              <w:rPr>
                <w:color w:val="1B2420"/>
                <w:sz w:val="20"/>
                <w:szCs w:val="20"/>
              </w:rPr>
              <w:t xml:space="preserve"> above ground (or internally shielded).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B2420"/>
                <w:sz w:val="20"/>
                <w:szCs w:val="20"/>
              </w:rPr>
              <w:t xml:space="preserve">Boundary fence as barrier</w:t>
            </w:r>
          </w:p>
        </w:tc>
        <w:tc>
          <w:tcPr>
            <w:tcW w:type="dxa" w:w="62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420"/>
                <w:sz w:val="20"/>
                <w:szCs w:val="20"/>
              </w:rPr>
              <w:t xml:space="preserve">Effective height on the </w:t>
            </w:r>
            <w:r>
              <w:rPr>
                <w:i/>
                <w:iCs/>
                <w:color w:val="1B2420"/>
                <w:sz w:val="20"/>
                <w:szCs w:val="20"/>
              </w:rPr>
              <w:t xml:space="preserve">inside</w:t>
            </w:r>
            <w:r>
              <w:rPr>
                <w:color w:val="1B2420"/>
                <w:sz w:val="20"/>
                <w:szCs w:val="20"/>
              </w:rPr>
              <w:t xml:space="preserve"> of at least </w:t>
            </w:r>
            <w:r>
              <w:rPr>
                <w:b/>
                <w:bCs/>
                <w:color w:val="1B2420"/>
                <w:sz w:val="20"/>
                <w:szCs w:val="20"/>
              </w:rPr>
              <w:t xml:space="preserve">1800 mm</w:t>
            </w:r>
            <w:r>
              <w:rPr>
                <w:color w:val="1B2420"/>
                <w:sz w:val="20"/>
                <w:szCs w:val="20"/>
              </w:rPr>
              <w:t xml:space="preserve">, with the non-climbable zone on the inside face.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B2420"/>
                <w:sz w:val="20"/>
                <w:szCs w:val="20"/>
              </w:rPr>
              <w:t xml:space="preserve">Windows &amp; doors</w:t>
            </w:r>
          </w:p>
        </w:tc>
        <w:tc>
          <w:tcPr>
            <w:tcW w:type="dxa" w:w="62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B2420"/>
                <w:sz w:val="20"/>
                <w:szCs w:val="20"/>
              </w:rPr>
              <w:t xml:space="preserve">Doors can't form part of the barrier for a new pool; openable windows into the pool area are restricted (limited opening or screened).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What the Site Plan Must Show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The </w:t>
      </w:r>
      <w:r>
        <w:rPr>
          <w:b/>
          <w:bCs/>
          <w:color w:val="1B2420"/>
          <w:sz w:val="21"/>
          <w:szCs w:val="21"/>
        </w:rPr>
        <w:t xml:space="preserve">barrier line</w:t>
      </w:r>
      <w:r>
        <w:rPr>
          <w:color w:val="1B2420"/>
          <w:sz w:val="21"/>
          <w:szCs w:val="21"/>
        </w:rPr>
        <w:t xml:space="preserve"> drawn right around the pool zone — fences, walls, gates, and which existing fences are being relied 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Gate positions and swing direction</w:t>
      </w:r>
      <w:r>
        <w:rPr>
          <w:color w:val="1B2420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Heights</w:t>
      </w:r>
      <w:r>
        <w:rPr>
          <w:color w:val="1B2420"/>
          <w:sz w:val="21"/>
          <w:szCs w:val="21"/>
        </w:rPr>
        <w:t xml:space="preserve"> of every barrier element, including existing boundary fences being relied 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Anything inside the non-climbable zones — retaining, equipment, landscaping — so we can see it's clear.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The pool or spa itself dimensioned to boundaries, with the engineering or manufacturer's specification attached.</w:t>
      </w:r>
    </w:p>
    <w:p>
      <w:pPr>
        <w:pBdr>
          <w:top w:val="none" w:color="auto" w:sz="0"/>
          <w:bottom w:val="none" w:color="auto" w:sz="0"/>
          <w:left w:val="single" w:color="8A6D1E" w:sz="18" w:space="10"/>
          <w:right w:val="none" w:color="auto" w:sz="0"/>
        </w:pBdr>
        <w:shd w:fill="FBF4E6" w:val="clear"/>
        <w:spacing w:after="200" w:before="200"/>
        <w:ind w:left="160" w:right="160"/>
      </w:pPr>
      <w:r>
        <w:rPr>
          <w:b/>
          <w:bCs/>
          <w:color w:val="1B2420"/>
          <w:sz w:val="21"/>
          <w:szCs w:val="21"/>
        </w:rPr>
        <w:t xml:space="preserve">The common bounce:</w:t>
      </w:r>
      <w:r>
        <w:rPr>
          <w:color w:val="1B2420"/>
          <w:sz w:val="21"/>
          <w:szCs w:val="21"/>
        </w:rPr>
        <w:t xml:space="preserve"> a compliant fence with a climbable object beside it — a retaining wall, a raised planter, the filter box. Walk the barrier line on the plan and ask "could a five-year-old use this?" That's the assessment. 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After the Permit</w:t>
      </w:r>
    </w:p>
    <w:p>
      <w:pPr>
        <w:spacing w:after="140"/>
      </w:pPr>
      <w:r>
        <w:rPr>
          <w:color w:val="1B2420"/>
          <w:sz w:val="21"/>
          <w:szCs w:val="21"/>
        </w:rPr>
        <w:t xml:space="preserve">Pool barriers stay a permanent obligation, not a one-off: your local government inspects them on an ongoing cycle (at least once every four years in WA). Keep the barrier compliant as landscaping and fences change.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66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660"/>
        <w:sz w:val="16"/>
        <w:szCs w:val="16"/>
      </w:rPr>
      <w:t xml:space="preserve">CF Building Approvals — guidance note, for editing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Guidance note 09 — Swimming Pool &amp; Spa Barriers</dc:title>
  <dc:creator>CF Building Approvals</dc:creator>
  <dc:description>Guidance note source, for editing. Hand it back and it goes into the portal PDF.</dc:description>
  <cp:lastModifiedBy>Un-named</cp:lastModifiedBy>
  <cp:revision>1</cp:revision>
  <dcterms:created xsi:type="dcterms:W3CDTF">2026-08-15T03:53:32.148Z</dcterms:created>
  <dcterms:modified xsi:type="dcterms:W3CDTF">2026-08-15T03:53:32.148Z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