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12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Easements, Sewer &amp; Drainage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The lines on the title you can't see on site — and who has to agree before you build over them.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Three Things That Run Through Ordinary 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Easements on the title</w:t>
      </w:r>
      <w:r>
        <w:rPr>
          <w:color w:val="1B2420"/>
          <w:sz w:val="21"/>
          <w:szCs w:val="21"/>
        </w:rPr>
        <w:t xml:space="preserve"> — drainage, access, power. An easement usually means no structures without the beneficiary's consent, and it binds you even if nothing is visible on the 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Water Corporation sewer mains</w:t>
      </w:r>
      <w:r>
        <w:rPr>
          <w:color w:val="1B2420"/>
          <w:sz w:val="21"/>
          <w:szCs w:val="21"/>
        </w:rPr>
        <w:t xml:space="preserve"> — often through the rear or side of the lot, not the street. Building </w:t>
      </w:r>
      <w:r>
        <w:rPr>
          <w:b/>
          <w:bCs/>
          <w:color w:val="1B2420"/>
          <w:sz w:val="21"/>
          <w:szCs w:val="21"/>
        </w:rPr>
        <w:t xml:space="preserve">over or near</w:t>
      </w:r>
      <w:r>
        <w:rPr>
          <w:color w:val="1B2420"/>
          <w:sz w:val="21"/>
          <w:szCs w:val="21"/>
        </w:rPr>
        <w:t xml:space="preserve"> one needs Water Corporation approval before the permit stage, and the answer shapes footing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Council drainage</w:t>
      </w:r>
      <w:r>
        <w:rPr>
          <w:color w:val="1B2420"/>
          <w:sz w:val="21"/>
          <w:szCs w:val="21"/>
        </w:rPr>
        <w:t xml:space="preserve"> — pipes and pits in dedicated easements, with the same no-build presumption.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Before the Design Is Settled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Pull the </w:t>
      </w:r>
      <w:r>
        <w:rPr>
          <w:b/>
          <w:bCs/>
          <w:color w:val="1B2420"/>
          <w:sz w:val="21"/>
          <w:szCs w:val="21"/>
        </w:rPr>
        <w:t xml:space="preserve">certificate of title</w:t>
      </w:r>
      <w:r>
        <w:rPr>
          <w:color w:val="1B2420"/>
          <w:sz w:val="21"/>
          <w:szCs w:val="21"/>
        </w:rPr>
        <w:t xml:space="preserve"> — every easement is listed on it. We can help if you don't have a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Check the </w:t>
      </w:r>
      <w:r>
        <w:rPr>
          <w:b/>
          <w:bCs/>
          <w:color w:val="1B2420"/>
          <w:sz w:val="21"/>
          <w:szCs w:val="21"/>
        </w:rPr>
        <w:t xml:space="preserve">service locations</w:t>
      </w:r>
      <w:r>
        <w:rPr>
          <w:color w:val="1B2420"/>
          <w:sz w:val="21"/>
          <w:szCs w:val="21"/>
        </w:rPr>
        <w:t xml:space="preserve"> — a Before You Dig (BYDA) search is free and shows sewer, water, power and gas in and around the 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If the structure lands on or near a sewer: talk to </w:t>
      </w:r>
      <w:r>
        <w:rPr>
          <w:b/>
          <w:bCs/>
          <w:color w:val="1B2420"/>
          <w:sz w:val="21"/>
          <w:szCs w:val="21"/>
        </w:rPr>
        <w:t xml:space="preserve">Water Corporation first</w:t>
      </w:r>
      <w:r>
        <w:rPr>
          <w:color w:val="1B2420"/>
          <w:sz w:val="21"/>
          <w:szCs w:val="21"/>
        </w:rPr>
        <w:t xml:space="preserve">. Their approval (and any concrete-encasement or pier requirements) has to exist before the council will issue the permit.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Need to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Easements and any sewer within the lot </w:t>
      </w:r>
      <w:r>
        <w:rPr>
          <w:b/>
          <w:bCs/>
          <w:color w:val="1B2420"/>
          <w:sz w:val="21"/>
          <w:szCs w:val="21"/>
        </w:rPr>
        <w:t xml:space="preserve">drawn on the site plan</w:t>
      </w:r>
      <w:r>
        <w:rPr>
          <w:color w:val="1B2420"/>
          <w:sz w:val="21"/>
          <w:szCs w:val="21"/>
        </w:rPr>
        <w:t xml:space="preserve"> — or a note that the title is clear.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structure dimensioned clear of them, </w:t>
      </w:r>
      <w:r>
        <w:rPr>
          <w:i/>
          <w:iCs/>
          <w:color w:val="1B2420"/>
          <w:sz w:val="21"/>
          <w:szCs w:val="21"/>
        </w:rPr>
        <w:t xml:space="preserve">or</w:t>
      </w:r>
      <w:r>
        <w:rPr>
          <w:color w:val="1B2420"/>
          <w:sz w:val="21"/>
          <w:szCs w:val="21"/>
        </w:rPr>
        <w:t xml:space="preserve"> the written approval that lets it encroach, with footings designed to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Soak wells kept clear of sewer lines and easements too — they count.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expensive version of this note:</w:t>
      </w:r>
      <w:r>
        <w:rPr>
          <w:color w:val="1B2420"/>
          <w:sz w:val="21"/>
          <w:szCs w:val="21"/>
        </w:rPr>
        <w:t xml:space="preserve"> a slab poured over an unprotected sewer junction. It gets found — usually when the neighbour's line blocks — and rectification means cutting the slab. A five-minute title and BYDA check at design time is the whole prevention.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12 — Easements, Sewer &amp; Drainage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2026-08-15T03:53:32.207Z</dcterms:created>
  <dcterms:modified xsi:type="dcterms:W3CDTF">2026-08-15T03:53:32.207Z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