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83C7D" w14:textId="77777777" w:rsidR="00423478" w:rsidRDefault="00423478" w:rsidP="00423478">
      <w:pPr>
        <w:jc w:val="center"/>
        <w:rPr>
          <w:sz w:val="24"/>
          <w:szCs w:val="24"/>
        </w:rPr>
      </w:pPr>
      <w:r>
        <w:rPr>
          <w:b/>
          <w:sz w:val="24"/>
          <w:szCs w:val="24"/>
        </w:rPr>
        <w:t>MEMORANDUM</w:t>
      </w:r>
    </w:p>
    <w:p w14:paraId="2AD56DFD" w14:textId="77777777" w:rsidR="00423478" w:rsidRDefault="00423478" w:rsidP="00423478">
      <w:pPr>
        <w:rPr>
          <w:sz w:val="24"/>
          <w:szCs w:val="24"/>
        </w:rPr>
      </w:pPr>
      <w:r>
        <w:rPr>
          <w:b/>
          <w:sz w:val="24"/>
          <w:szCs w:val="24"/>
        </w:rPr>
        <w:t>To</w:t>
      </w:r>
      <w:r>
        <w:rPr>
          <w:sz w:val="24"/>
          <w:szCs w:val="24"/>
        </w:rPr>
        <w:t>: Yoel Haile</w:t>
      </w:r>
    </w:p>
    <w:p w14:paraId="58E94FEF" w14:textId="77777777" w:rsidR="00423478" w:rsidRDefault="00423478" w:rsidP="00423478">
      <w:pPr>
        <w:rPr>
          <w:sz w:val="24"/>
          <w:szCs w:val="24"/>
        </w:rPr>
      </w:pPr>
      <w:r>
        <w:rPr>
          <w:b/>
          <w:sz w:val="24"/>
          <w:szCs w:val="24"/>
        </w:rPr>
        <w:t>From</w:t>
      </w:r>
      <w:r>
        <w:rPr>
          <w:sz w:val="24"/>
          <w:szCs w:val="24"/>
        </w:rPr>
        <w:t>: Zachariah Oquenda</w:t>
      </w:r>
    </w:p>
    <w:p w14:paraId="09AC798A" w14:textId="41B10B20" w:rsidR="00423478" w:rsidRDefault="00423478" w:rsidP="00423478">
      <w:pPr>
        <w:rPr>
          <w:sz w:val="24"/>
          <w:szCs w:val="24"/>
        </w:rPr>
      </w:pPr>
      <w:r>
        <w:rPr>
          <w:b/>
          <w:sz w:val="24"/>
          <w:szCs w:val="24"/>
        </w:rPr>
        <w:t>Date</w:t>
      </w:r>
      <w:r>
        <w:rPr>
          <w:sz w:val="24"/>
          <w:szCs w:val="24"/>
        </w:rPr>
        <w:t>: J</w:t>
      </w:r>
      <w:r w:rsidR="005E0A06">
        <w:rPr>
          <w:sz w:val="24"/>
          <w:szCs w:val="24"/>
        </w:rPr>
        <w:t xml:space="preserve">uly </w:t>
      </w:r>
      <w:r w:rsidR="00CB28EB">
        <w:rPr>
          <w:sz w:val="24"/>
          <w:szCs w:val="24"/>
        </w:rPr>
        <w:t>1</w:t>
      </w:r>
      <w:r w:rsidR="005E0A06">
        <w:rPr>
          <w:sz w:val="24"/>
          <w:szCs w:val="24"/>
        </w:rPr>
        <w:t>2</w:t>
      </w:r>
      <w:r>
        <w:rPr>
          <w:sz w:val="24"/>
          <w:szCs w:val="24"/>
        </w:rPr>
        <w:t>, 2019</w:t>
      </w:r>
    </w:p>
    <w:p w14:paraId="38BF6452" w14:textId="35D0D05B" w:rsidR="005E0A06" w:rsidRPr="005E0A06" w:rsidRDefault="00423478" w:rsidP="005E0A06">
      <w:pPr>
        <w:ind w:left="900" w:hanging="900"/>
        <w:rPr>
          <w:sz w:val="24"/>
          <w:szCs w:val="24"/>
        </w:rPr>
      </w:pPr>
      <w:r>
        <w:rPr>
          <w:b/>
          <w:sz w:val="24"/>
          <w:szCs w:val="24"/>
        </w:rPr>
        <w:t>Subject</w:t>
      </w:r>
      <w:r>
        <w:rPr>
          <w:sz w:val="24"/>
          <w:szCs w:val="24"/>
        </w:rPr>
        <w:t xml:space="preserve">: </w:t>
      </w:r>
      <w:r w:rsidR="00325ED1">
        <w:rPr>
          <w:sz w:val="24"/>
          <w:szCs w:val="24"/>
        </w:rPr>
        <w:t>LA District Attorney Transparency and Accountability Report</w:t>
      </w:r>
    </w:p>
    <w:p w14:paraId="217878AE" w14:textId="77777777" w:rsidR="003D5A4F" w:rsidRDefault="003D5A4F" w:rsidP="00423478">
      <w:pPr>
        <w:pBdr>
          <w:top w:val="single" w:sz="4" w:space="1" w:color="auto"/>
        </w:pBdr>
        <w:rPr>
          <w:sz w:val="24"/>
          <w:szCs w:val="24"/>
        </w:rPr>
      </w:pPr>
    </w:p>
    <w:p w14:paraId="25BA6B5A" w14:textId="40AD20C0" w:rsidR="00423478" w:rsidRDefault="00423478" w:rsidP="00423478">
      <w:pPr>
        <w:pBdr>
          <w:top w:val="single" w:sz="4" w:space="1" w:color="auto"/>
        </w:pBdr>
        <w:jc w:val="center"/>
        <w:rPr>
          <w:b/>
          <w:sz w:val="24"/>
          <w:szCs w:val="24"/>
        </w:rPr>
      </w:pPr>
      <w:r>
        <w:rPr>
          <w:b/>
          <w:sz w:val="24"/>
          <w:szCs w:val="24"/>
        </w:rPr>
        <w:t>Request Item #1</w:t>
      </w:r>
      <w:r w:rsidR="001F24C3">
        <w:rPr>
          <w:b/>
          <w:sz w:val="24"/>
          <w:szCs w:val="24"/>
        </w:rPr>
        <w:t xml:space="preserve"> – Prosecution Data</w:t>
      </w:r>
    </w:p>
    <w:p w14:paraId="7BB521C0" w14:textId="77777777" w:rsidR="00423478" w:rsidRDefault="00423478" w:rsidP="00423478">
      <w:pPr>
        <w:pBdr>
          <w:top w:val="single" w:sz="4" w:space="1" w:color="auto"/>
        </w:pBdr>
        <w:rPr>
          <w:sz w:val="24"/>
          <w:szCs w:val="24"/>
          <w:u w:val="single"/>
        </w:rPr>
      </w:pPr>
      <w:r>
        <w:rPr>
          <w:b/>
          <w:i/>
          <w:sz w:val="24"/>
          <w:szCs w:val="24"/>
        </w:rPr>
        <w:tab/>
      </w:r>
      <w:r w:rsidR="00B364A5">
        <w:rPr>
          <w:sz w:val="24"/>
          <w:szCs w:val="24"/>
          <w:u w:val="single"/>
        </w:rPr>
        <w:t xml:space="preserve">ACLU PRA </w:t>
      </w:r>
      <w:r>
        <w:rPr>
          <w:sz w:val="24"/>
          <w:szCs w:val="24"/>
          <w:u w:val="single"/>
        </w:rPr>
        <w:t>Request</w:t>
      </w:r>
    </w:p>
    <w:p w14:paraId="6EDCBC95" w14:textId="77777777" w:rsidR="00423478" w:rsidRDefault="00423478" w:rsidP="00423478">
      <w:pPr>
        <w:numPr>
          <w:ilvl w:val="0"/>
          <w:numId w:val="1"/>
        </w:numPr>
        <w:spacing w:after="0" w:line="276" w:lineRule="auto"/>
        <w:rPr>
          <w:rFonts w:eastAsia="Times New Roman"/>
          <w:i/>
          <w:sz w:val="24"/>
          <w:szCs w:val="24"/>
        </w:rPr>
      </w:pPr>
      <w:r>
        <w:rPr>
          <w:rFonts w:eastAsia="Times New Roman"/>
          <w:i/>
          <w:sz w:val="24"/>
          <w:szCs w:val="24"/>
        </w:rPr>
        <w:t>Records of prosecution data within your possession for calendar year 2017 and 2018, including but not limited to,</w:t>
      </w:r>
    </w:p>
    <w:p w14:paraId="253B8775" w14:textId="77777777" w:rsidR="00423478" w:rsidRDefault="00423478" w:rsidP="00423478">
      <w:pPr>
        <w:numPr>
          <w:ilvl w:val="1"/>
          <w:numId w:val="1"/>
        </w:numPr>
        <w:spacing w:after="0" w:line="276" w:lineRule="auto"/>
        <w:rPr>
          <w:rFonts w:eastAsia="Times New Roman"/>
          <w:i/>
          <w:sz w:val="24"/>
          <w:szCs w:val="24"/>
        </w:rPr>
      </w:pPr>
      <w:r>
        <w:rPr>
          <w:rFonts w:eastAsia="Times New Roman"/>
          <w:i/>
          <w:sz w:val="24"/>
          <w:szCs w:val="24"/>
        </w:rPr>
        <w:t>Unique identifiers for each person, charges, and outcomes for all minors (any persons under the age of 18) prosecuted directly in adult court in Contra Costa County (adult court is defined as a court of criminal jurisdiction) (otherwise known as “pipeline” or “direct file” cases) under Welfare and Institutions Code section 707.</w:t>
      </w:r>
    </w:p>
    <w:p w14:paraId="77C8598F" w14:textId="77777777" w:rsidR="00423478" w:rsidRDefault="00423478" w:rsidP="00423478">
      <w:pPr>
        <w:numPr>
          <w:ilvl w:val="2"/>
          <w:numId w:val="1"/>
        </w:numPr>
        <w:spacing w:after="0" w:line="276" w:lineRule="auto"/>
        <w:rPr>
          <w:rFonts w:eastAsia="Times New Roman"/>
          <w:i/>
          <w:sz w:val="24"/>
          <w:szCs w:val="24"/>
        </w:rPr>
      </w:pPr>
      <w:r>
        <w:rPr>
          <w:rFonts w:eastAsia="Times New Roman"/>
          <w:i/>
          <w:sz w:val="24"/>
          <w:szCs w:val="24"/>
        </w:rPr>
        <w:t xml:space="preserve">Unique identifiers for each person, charges, and outcomes for all minors prosecuted in adult court in Contra Costa County after any one of the following: </w:t>
      </w:r>
    </w:p>
    <w:p w14:paraId="5C20BCC8" w14:textId="77777777" w:rsidR="00423478" w:rsidRDefault="00423478" w:rsidP="00423478">
      <w:pPr>
        <w:numPr>
          <w:ilvl w:val="3"/>
          <w:numId w:val="1"/>
        </w:numPr>
        <w:spacing w:after="0" w:line="276" w:lineRule="auto"/>
        <w:rPr>
          <w:rFonts w:eastAsia="Times New Roman"/>
          <w:i/>
          <w:sz w:val="24"/>
          <w:szCs w:val="24"/>
        </w:rPr>
      </w:pPr>
      <w:r>
        <w:rPr>
          <w:rFonts w:eastAsia="Times New Roman"/>
          <w:i/>
          <w:sz w:val="24"/>
          <w:szCs w:val="24"/>
        </w:rPr>
        <w:t xml:space="preserve"> a judicial certification to adult court following a juvenile transfer hearing under the newly amended Welfare and Institutions Code section 707 subsection (a);</w:t>
      </w:r>
    </w:p>
    <w:p w14:paraId="6EF72BFB" w14:textId="77777777" w:rsidR="00423478" w:rsidRDefault="00423478" w:rsidP="00423478">
      <w:pPr>
        <w:numPr>
          <w:ilvl w:val="3"/>
          <w:numId w:val="1"/>
        </w:numPr>
        <w:spacing w:after="0" w:line="276" w:lineRule="auto"/>
        <w:rPr>
          <w:rFonts w:eastAsia="Times New Roman"/>
          <w:i/>
          <w:sz w:val="24"/>
          <w:szCs w:val="24"/>
        </w:rPr>
      </w:pPr>
      <w:r>
        <w:rPr>
          <w:rFonts w:eastAsia="Times New Roman"/>
          <w:i/>
          <w:sz w:val="24"/>
          <w:szCs w:val="24"/>
        </w:rPr>
        <w:t xml:space="preserve">a juvenile defendant’s waiver of transfer hearing or stipulation to adult court following the District Attorney’s motion to transfer to adult court. </w:t>
      </w:r>
    </w:p>
    <w:p w14:paraId="1B5F2888" w14:textId="77777777" w:rsidR="00423478" w:rsidRDefault="00423478" w:rsidP="00423478">
      <w:pPr>
        <w:numPr>
          <w:ilvl w:val="1"/>
          <w:numId w:val="1"/>
        </w:numPr>
        <w:spacing w:after="0" w:line="276" w:lineRule="auto"/>
        <w:rPr>
          <w:rFonts w:eastAsia="Times New Roman"/>
          <w:i/>
          <w:sz w:val="24"/>
          <w:szCs w:val="24"/>
        </w:rPr>
      </w:pPr>
      <w:r>
        <w:rPr>
          <w:rFonts w:eastAsia="Times New Roman"/>
          <w:i/>
          <w:sz w:val="24"/>
          <w:szCs w:val="24"/>
        </w:rPr>
        <w:t xml:space="preserve">Unique case identifiers, charges, and outcomes for all minors prosecuted in juvenile court in Contra Costa county, including, but not limited to demographic data, charges filed, and case outcomes during the calendar year of 2017 and 2018. </w:t>
      </w:r>
    </w:p>
    <w:p w14:paraId="2CA2B60F" w14:textId="77777777" w:rsidR="00423478" w:rsidRDefault="00423478" w:rsidP="00423478">
      <w:pPr>
        <w:numPr>
          <w:ilvl w:val="1"/>
          <w:numId w:val="1"/>
        </w:numPr>
        <w:spacing w:after="0" w:line="276" w:lineRule="auto"/>
        <w:rPr>
          <w:rFonts w:eastAsia="Times New Roman"/>
          <w:i/>
          <w:color w:val="222222"/>
          <w:sz w:val="24"/>
          <w:szCs w:val="24"/>
        </w:rPr>
      </w:pPr>
      <w:r>
        <w:rPr>
          <w:rFonts w:eastAsia="Times New Roman"/>
          <w:i/>
          <w:sz w:val="24"/>
          <w:szCs w:val="24"/>
        </w:rPr>
        <w:t>Unique case identifiers, charges, and outcomes (including diversion) of all misdemeanor charges for minors and adults in Contra Costa county.</w:t>
      </w:r>
    </w:p>
    <w:p w14:paraId="792F3051" w14:textId="77777777" w:rsidR="00423478" w:rsidRDefault="00423478" w:rsidP="00423478">
      <w:pPr>
        <w:numPr>
          <w:ilvl w:val="1"/>
          <w:numId w:val="1"/>
        </w:numPr>
        <w:spacing w:line="276" w:lineRule="auto"/>
        <w:rPr>
          <w:rFonts w:eastAsia="Times New Roman"/>
          <w:i/>
          <w:color w:val="222222"/>
          <w:sz w:val="24"/>
          <w:szCs w:val="24"/>
        </w:rPr>
      </w:pPr>
      <w:r>
        <w:rPr>
          <w:rFonts w:eastAsia="Times New Roman"/>
          <w:i/>
          <w:sz w:val="24"/>
          <w:szCs w:val="24"/>
        </w:rPr>
        <w:t>Unique case identifiers, charges, enhancements and outcomes (including diversion) of all felony charges for minors and adults in Contra Costa county.</w:t>
      </w:r>
    </w:p>
    <w:p w14:paraId="225D8F96" w14:textId="77777777" w:rsidR="00423478" w:rsidRDefault="00423478" w:rsidP="00423478">
      <w:pPr>
        <w:rPr>
          <w:rFonts w:eastAsia="Times New Roman"/>
          <w:color w:val="222222"/>
          <w:sz w:val="24"/>
          <w:szCs w:val="24"/>
          <w:u w:val="single"/>
        </w:rPr>
      </w:pPr>
      <w:r>
        <w:rPr>
          <w:rFonts w:eastAsia="Times New Roman"/>
          <w:color w:val="222222"/>
          <w:sz w:val="24"/>
          <w:szCs w:val="24"/>
          <w:u w:val="single"/>
        </w:rPr>
        <w:br w:type="page"/>
      </w:r>
    </w:p>
    <w:p w14:paraId="7A5A2037" w14:textId="77777777" w:rsidR="00423478" w:rsidRDefault="00B364A5" w:rsidP="00423478">
      <w:pPr>
        <w:spacing w:line="276" w:lineRule="auto"/>
        <w:ind w:left="720"/>
        <w:rPr>
          <w:rFonts w:eastAsia="Times New Roman"/>
          <w:color w:val="222222"/>
          <w:sz w:val="24"/>
          <w:szCs w:val="24"/>
        </w:rPr>
      </w:pPr>
      <w:r>
        <w:rPr>
          <w:rFonts w:eastAsia="Times New Roman"/>
          <w:color w:val="222222"/>
          <w:sz w:val="24"/>
          <w:szCs w:val="24"/>
          <w:u w:val="single"/>
        </w:rPr>
        <w:lastRenderedPageBreak/>
        <w:t>District Attorney</w:t>
      </w:r>
      <w:r w:rsidR="00423478">
        <w:rPr>
          <w:rFonts w:eastAsia="Times New Roman"/>
          <w:color w:val="222222"/>
          <w:sz w:val="24"/>
          <w:szCs w:val="24"/>
          <w:u w:val="single"/>
        </w:rPr>
        <w:t xml:space="preserve"> Response</w:t>
      </w:r>
    </w:p>
    <w:p w14:paraId="6E92DD0E" w14:textId="5377F8F9" w:rsidR="00423478" w:rsidRDefault="00B364A5" w:rsidP="00B364A5">
      <w:pPr>
        <w:spacing w:line="240" w:lineRule="auto"/>
        <w:ind w:firstLine="720"/>
        <w:rPr>
          <w:rFonts w:eastAsia="Times New Roman"/>
          <w:color w:val="000000"/>
          <w:sz w:val="24"/>
          <w:szCs w:val="24"/>
        </w:rPr>
      </w:pPr>
      <w:r>
        <w:rPr>
          <w:rFonts w:eastAsia="Times New Roman"/>
          <w:color w:val="000000"/>
          <w:sz w:val="24"/>
          <w:szCs w:val="24"/>
        </w:rPr>
        <w:t xml:space="preserve">The LADA </w:t>
      </w:r>
      <w:r w:rsidR="005A3077">
        <w:rPr>
          <w:rFonts w:eastAsia="Times New Roman"/>
          <w:color w:val="000000"/>
          <w:sz w:val="24"/>
          <w:szCs w:val="24"/>
        </w:rPr>
        <w:t>provided</w:t>
      </w:r>
      <w:r>
        <w:rPr>
          <w:rFonts w:eastAsia="Times New Roman"/>
          <w:color w:val="000000"/>
          <w:sz w:val="24"/>
          <w:szCs w:val="24"/>
        </w:rPr>
        <w:t xml:space="preserve"> </w:t>
      </w:r>
      <w:r w:rsidR="005A3077">
        <w:rPr>
          <w:rFonts w:eastAsia="Times New Roman"/>
          <w:color w:val="000000"/>
          <w:sz w:val="24"/>
          <w:szCs w:val="24"/>
        </w:rPr>
        <w:t>us a lot of</w:t>
      </w:r>
      <w:bookmarkStart w:id="0" w:name="_GoBack"/>
      <w:bookmarkEnd w:id="0"/>
      <w:r>
        <w:rPr>
          <w:rFonts w:eastAsia="Times New Roman"/>
          <w:color w:val="000000"/>
          <w:sz w:val="24"/>
          <w:szCs w:val="24"/>
        </w:rPr>
        <w:t xml:space="preserve"> prosecution data for adults and youths. They do not have records on juvenile’s motion to transfer to adult court. </w:t>
      </w:r>
      <w:r w:rsidR="00B27508">
        <w:rPr>
          <w:rFonts w:eastAsia="Times New Roman"/>
          <w:color w:val="000000"/>
          <w:sz w:val="24"/>
          <w:szCs w:val="24"/>
        </w:rPr>
        <w:t>They do not track race or ethnicity in any data.</w:t>
      </w:r>
    </w:p>
    <w:p w14:paraId="133764B0" w14:textId="18773A9F" w:rsidR="00B364A5" w:rsidRDefault="00B364A5" w:rsidP="00B364A5">
      <w:pPr>
        <w:spacing w:line="240" w:lineRule="auto"/>
        <w:ind w:firstLine="720"/>
        <w:rPr>
          <w:rFonts w:eastAsia="Times New Roman"/>
          <w:color w:val="000000"/>
          <w:sz w:val="24"/>
          <w:szCs w:val="24"/>
        </w:rPr>
      </w:pPr>
      <w:r>
        <w:rPr>
          <w:rFonts w:eastAsia="Times New Roman"/>
          <w:color w:val="000000"/>
          <w:sz w:val="24"/>
          <w:szCs w:val="24"/>
        </w:rPr>
        <w:t>[More details pending analysis of LADA’s prosecution data.]</w:t>
      </w:r>
    </w:p>
    <w:p w14:paraId="4F1E7E7E" w14:textId="77777777" w:rsidR="00423478" w:rsidRDefault="00423478" w:rsidP="00423478">
      <w:pPr>
        <w:spacing w:line="240" w:lineRule="auto"/>
        <w:rPr>
          <w:rFonts w:eastAsia="Times New Roman"/>
          <w:color w:val="000000"/>
          <w:sz w:val="24"/>
          <w:szCs w:val="24"/>
        </w:rPr>
      </w:pPr>
      <w:r>
        <w:rPr>
          <w:rFonts w:eastAsia="Times New Roman"/>
          <w:color w:val="000000"/>
          <w:sz w:val="24"/>
          <w:szCs w:val="24"/>
        </w:rPr>
        <w:tab/>
      </w:r>
      <w:r w:rsidR="000174FE">
        <w:rPr>
          <w:rFonts w:eastAsia="Times New Roman"/>
          <w:color w:val="000000"/>
          <w:sz w:val="24"/>
          <w:szCs w:val="24"/>
          <w:u w:val="single"/>
        </w:rPr>
        <w:t>Recommended Next Steps</w:t>
      </w:r>
    </w:p>
    <w:p w14:paraId="5FE77758" w14:textId="3110A8F9" w:rsidR="00423478" w:rsidRDefault="000174FE" w:rsidP="000174FE">
      <w:pPr>
        <w:spacing w:line="240" w:lineRule="auto"/>
        <w:ind w:firstLine="720"/>
        <w:rPr>
          <w:rFonts w:eastAsia="Times New Roman"/>
          <w:color w:val="000000"/>
          <w:sz w:val="24"/>
          <w:szCs w:val="24"/>
        </w:rPr>
      </w:pPr>
      <w:r>
        <w:rPr>
          <w:rFonts w:eastAsia="Times New Roman"/>
          <w:color w:val="000000"/>
          <w:sz w:val="24"/>
          <w:szCs w:val="24"/>
        </w:rPr>
        <w:t>[More details pending analysis of LADA’s prosecution data.]</w:t>
      </w:r>
    </w:p>
    <w:p w14:paraId="4DDA676D" w14:textId="24901B9E" w:rsidR="00423478" w:rsidRDefault="00423478" w:rsidP="00423478">
      <w:pPr>
        <w:spacing w:before="240"/>
        <w:jc w:val="center"/>
        <w:rPr>
          <w:b/>
          <w:sz w:val="24"/>
          <w:szCs w:val="24"/>
        </w:rPr>
      </w:pPr>
      <w:r>
        <w:rPr>
          <w:b/>
          <w:sz w:val="24"/>
          <w:szCs w:val="24"/>
        </w:rPr>
        <w:t>Request Item #2</w:t>
      </w:r>
      <w:r w:rsidR="001F24C3">
        <w:rPr>
          <w:b/>
          <w:sz w:val="24"/>
          <w:szCs w:val="24"/>
        </w:rPr>
        <w:t xml:space="preserve"> – Diversion Programs and Policies</w:t>
      </w:r>
    </w:p>
    <w:p w14:paraId="4EBE8F1F" w14:textId="77777777" w:rsidR="00423478" w:rsidRDefault="00423478" w:rsidP="00423478">
      <w:pPr>
        <w:spacing w:before="240"/>
        <w:rPr>
          <w:sz w:val="24"/>
          <w:szCs w:val="24"/>
          <w:u w:val="single"/>
        </w:rPr>
      </w:pPr>
      <w:r>
        <w:rPr>
          <w:b/>
          <w:i/>
          <w:sz w:val="24"/>
          <w:szCs w:val="24"/>
        </w:rPr>
        <w:tab/>
      </w:r>
      <w:r w:rsidR="00441D02">
        <w:rPr>
          <w:sz w:val="24"/>
          <w:szCs w:val="24"/>
          <w:u w:val="single"/>
        </w:rPr>
        <w:t>ACLU PRA Request</w:t>
      </w:r>
    </w:p>
    <w:p w14:paraId="7F857FE2" w14:textId="77777777" w:rsidR="00423478" w:rsidRDefault="00423478" w:rsidP="00423478">
      <w:pPr>
        <w:pStyle w:val="ListParagraph"/>
        <w:numPr>
          <w:ilvl w:val="0"/>
          <w:numId w:val="1"/>
        </w:numPr>
        <w:spacing w:before="240" w:line="276" w:lineRule="auto"/>
        <w:contextualSpacing w:val="0"/>
        <w:rPr>
          <w:rFonts w:eastAsia="Times New Roman"/>
          <w:i/>
          <w:sz w:val="24"/>
          <w:szCs w:val="24"/>
        </w:rPr>
      </w:pPr>
      <w:r>
        <w:rPr>
          <w:rFonts w:eastAsia="Times New Roman"/>
          <w:i/>
          <w:sz w:val="24"/>
          <w:szCs w:val="24"/>
        </w:rPr>
        <w:t>All documents and records related to all diversion programs offered or used by the DA’s office, how many people utilized those programs, demographics of those people, the charges they were facing, outcomes of those cases, requirements for completing diversion, and any charges or costs associated with those diversion programs for calendar years 2017 and 2018.</w:t>
      </w:r>
    </w:p>
    <w:p w14:paraId="3F880952" w14:textId="77777777" w:rsidR="00423478" w:rsidRDefault="000174FE" w:rsidP="00423478">
      <w:pPr>
        <w:pStyle w:val="ListParagraph"/>
        <w:spacing w:before="240" w:line="276" w:lineRule="auto"/>
        <w:rPr>
          <w:rFonts w:eastAsia="Times New Roman"/>
          <w:color w:val="222222"/>
          <w:sz w:val="24"/>
          <w:szCs w:val="24"/>
        </w:rPr>
      </w:pPr>
      <w:r>
        <w:rPr>
          <w:rFonts w:eastAsia="Times New Roman"/>
          <w:color w:val="222222"/>
          <w:sz w:val="24"/>
          <w:szCs w:val="24"/>
          <w:u w:val="single"/>
        </w:rPr>
        <w:t>District Attorney</w:t>
      </w:r>
      <w:r w:rsidR="00423478">
        <w:rPr>
          <w:rFonts w:eastAsia="Times New Roman"/>
          <w:color w:val="222222"/>
          <w:sz w:val="24"/>
          <w:szCs w:val="24"/>
          <w:u w:val="single"/>
        </w:rPr>
        <w:t xml:space="preserve"> Response</w:t>
      </w:r>
    </w:p>
    <w:p w14:paraId="60DA7151" w14:textId="3954F012" w:rsidR="00423478" w:rsidRDefault="00BE7D26" w:rsidP="0052326B">
      <w:pPr>
        <w:spacing w:before="240" w:line="240" w:lineRule="auto"/>
        <w:ind w:firstLine="720"/>
        <w:rPr>
          <w:rFonts w:eastAsia="Times New Roman"/>
          <w:sz w:val="24"/>
          <w:szCs w:val="24"/>
        </w:rPr>
      </w:pPr>
      <w:r>
        <w:rPr>
          <w:rFonts w:eastAsia="Times New Roman"/>
          <w:sz w:val="24"/>
          <w:szCs w:val="24"/>
        </w:rPr>
        <w:t>The LADA p</w:t>
      </w:r>
      <w:r w:rsidR="0052326B" w:rsidRPr="0052326B">
        <w:rPr>
          <w:rFonts w:eastAsia="Times New Roman"/>
          <w:sz w:val="24"/>
          <w:szCs w:val="24"/>
        </w:rPr>
        <w:t>rovided</w:t>
      </w:r>
      <w:r w:rsidR="00C4643C">
        <w:rPr>
          <w:rFonts w:eastAsia="Times New Roman"/>
          <w:sz w:val="24"/>
          <w:szCs w:val="24"/>
        </w:rPr>
        <w:t xml:space="preserve"> several responsive documents to this </w:t>
      </w:r>
      <w:r w:rsidR="001F24C3">
        <w:rPr>
          <w:rFonts w:eastAsia="Times New Roman"/>
          <w:sz w:val="24"/>
          <w:szCs w:val="24"/>
        </w:rPr>
        <w:t>request item</w:t>
      </w:r>
      <w:r w:rsidR="00C4643C">
        <w:rPr>
          <w:rFonts w:eastAsia="Times New Roman"/>
          <w:sz w:val="24"/>
          <w:szCs w:val="24"/>
        </w:rPr>
        <w:t>. In addition to summary information in the June 21, 2019 response letter, the LADA provided</w:t>
      </w:r>
      <w:r w:rsidR="0052326B" w:rsidRPr="0052326B">
        <w:rPr>
          <w:rFonts w:eastAsia="Times New Roman"/>
          <w:sz w:val="24"/>
          <w:szCs w:val="24"/>
        </w:rPr>
        <w:t xml:space="preserve"> Chapter 6 </w:t>
      </w:r>
      <w:r w:rsidR="00235DC6">
        <w:rPr>
          <w:rFonts w:eastAsia="Times New Roman"/>
          <w:sz w:val="24"/>
          <w:szCs w:val="24"/>
        </w:rPr>
        <w:t xml:space="preserve">of their Legal Policy Manual. This </w:t>
      </w:r>
      <w:r>
        <w:rPr>
          <w:rFonts w:eastAsia="Times New Roman"/>
          <w:sz w:val="24"/>
          <w:szCs w:val="24"/>
        </w:rPr>
        <w:t xml:space="preserve">chapter </w:t>
      </w:r>
      <w:r w:rsidR="0052326B" w:rsidRPr="0052326B">
        <w:rPr>
          <w:rFonts w:eastAsia="Times New Roman"/>
          <w:sz w:val="24"/>
          <w:szCs w:val="24"/>
        </w:rPr>
        <w:t>contains guidance on eligibility for diversion programs.</w:t>
      </w:r>
      <w:r>
        <w:rPr>
          <w:rFonts w:eastAsia="Times New Roman"/>
          <w:sz w:val="24"/>
          <w:szCs w:val="24"/>
        </w:rPr>
        <w:t xml:space="preserve"> </w:t>
      </w:r>
      <w:r w:rsidR="00C4643C">
        <w:rPr>
          <w:rFonts w:eastAsia="Times New Roman"/>
          <w:sz w:val="24"/>
          <w:szCs w:val="24"/>
        </w:rPr>
        <w:t xml:space="preserve">The LADA </w:t>
      </w:r>
      <w:r w:rsidR="0066594D">
        <w:rPr>
          <w:rFonts w:eastAsia="Times New Roman"/>
          <w:sz w:val="24"/>
          <w:szCs w:val="24"/>
        </w:rPr>
        <w:t>has not provided a copy of their</w:t>
      </w:r>
      <w:r w:rsidR="00C4643C">
        <w:rPr>
          <w:rFonts w:eastAsia="Times New Roman"/>
          <w:sz w:val="24"/>
          <w:szCs w:val="24"/>
        </w:rPr>
        <w:t xml:space="preserve"> Pre-Filing Diversion (PDP) Manual, which contains a</w:t>
      </w:r>
      <w:r w:rsidRPr="0052326B">
        <w:rPr>
          <w:rFonts w:eastAsia="Times New Roman"/>
          <w:sz w:val="24"/>
          <w:szCs w:val="24"/>
        </w:rPr>
        <w:t>dditional guidance and specific procedures, including forms to be utilized</w:t>
      </w:r>
      <w:r w:rsidR="00C4643C">
        <w:rPr>
          <w:rFonts w:eastAsia="Times New Roman"/>
          <w:sz w:val="24"/>
          <w:szCs w:val="24"/>
        </w:rPr>
        <w:t xml:space="preserve"> for diversion.</w:t>
      </w:r>
      <w:r w:rsidR="0017244F">
        <w:rPr>
          <w:rStyle w:val="FootnoteReference"/>
          <w:rFonts w:eastAsia="Times New Roman"/>
          <w:sz w:val="24"/>
          <w:szCs w:val="24"/>
        </w:rPr>
        <w:footnoteReference w:id="1"/>
      </w:r>
    </w:p>
    <w:p w14:paraId="118B7E9B" w14:textId="502DDDB5" w:rsidR="009D11E8" w:rsidRDefault="00C4643C" w:rsidP="009D11E8">
      <w:pPr>
        <w:spacing w:before="240" w:line="240" w:lineRule="auto"/>
        <w:ind w:firstLine="720"/>
        <w:rPr>
          <w:rFonts w:eastAsia="Times New Roman"/>
          <w:sz w:val="24"/>
          <w:szCs w:val="24"/>
        </w:rPr>
      </w:pPr>
      <w:r>
        <w:rPr>
          <w:rFonts w:eastAsia="Times New Roman"/>
          <w:sz w:val="24"/>
          <w:szCs w:val="24"/>
        </w:rPr>
        <w:t>According to the June 21, 2019 response letter, t</w:t>
      </w:r>
      <w:r w:rsidR="008E2C1A">
        <w:rPr>
          <w:rFonts w:eastAsia="Times New Roman"/>
          <w:sz w:val="24"/>
          <w:szCs w:val="24"/>
        </w:rPr>
        <w:t>he LADA office does not keep formal statistics of how many people enter the program and who successfully completes the programs. The LADA sent estimates from the Alternate Sentencing Court</w:t>
      </w:r>
      <w:r w:rsidR="009D11E8">
        <w:rPr>
          <w:rFonts w:eastAsia="Times New Roman"/>
          <w:sz w:val="24"/>
          <w:szCs w:val="24"/>
        </w:rPr>
        <w:t>s</w:t>
      </w:r>
      <w:r w:rsidR="008E2C1A">
        <w:rPr>
          <w:rStyle w:val="FootnoteReference"/>
          <w:rFonts w:eastAsia="Times New Roman"/>
          <w:sz w:val="24"/>
          <w:szCs w:val="24"/>
        </w:rPr>
        <w:footnoteReference w:id="2"/>
      </w:r>
      <w:r w:rsidR="008E2C1A">
        <w:rPr>
          <w:rFonts w:eastAsia="Times New Roman"/>
          <w:sz w:val="24"/>
          <w:szCs w:val="24"/>
        </w:rPr>
        <w:t xml:space="preserve"> in downtown LA. According to those estimates, the </w:t>
      </w:r>
      <w:r w:rsidR="009D11E8">
        <w:rPr>
          <w:rFonts w:eastAsia="Times New Roman"/>
          <w:sz w:val="24"/>
          <w:szCs w:val="24"/>
        </w:rPr>
        <w:t>total number of people accepted into the various Alternative Sentencing Courts are 499 and 472 in 2017 and 2018, respectively. Of those who were accepted into the programs during those two years the 148 people in 2017 and 196 people in 2018 successfully completed the programs. In 2017, 136 people were terminated</w:t>
      </w:r>
      <w:r w:rsidR="00277BA7">
        <w:rPr>
          <w:rFonts w:eastAsia="Times New Roman"/>
          <w:sz w:val="24"/>
          <w:szCs w:val="24"/>
        </w:rPr>
        <w:t xml:space="preserve"> from the program,</w:t>
      </w:r>
      <w:r w:rsidR="009D11E8">
        <w:rPr>
          <w:rFonts w:eastAsia="Times New Roman"/>
          <w:sz w:val="24"/>
          <w:szCs w:val="24"/>
        </w:rPr>
        <w:t xml:space="preserve"> and, in 2018, 129 people were terminated. </w:t>
      </w:r>
      <w:r w:rsidR="00277BA7">
        <w:rPr>
          <w:rFonts w:eastAsia="Times New Roman"/>
          <w:sz w:val="24"/>
          <w:szCs w:val="24"/>
        </w:rPr>
        <w:t xml:space="preserve">Those who are terminated are likely prosecuted. </w:t>
      </w:r>
      <w:r w:rsidR="009D11E8">
        <w:rPr>
          <w:rFonts w:eastAsia="Times New Roman"/>
          <w:sz w:val="24"/>
          <w:szCs w:val="24"/>
        </w:rPr>
        <w:t>The office keeps no statistics for demographics.</w:t>
      </w:r>
      <w:r>
        <w:rPr>
          <w:rFonts w:eastAsia="Times New Roman"/>
          <w:sz w:val="24"/>
          <w:szCs w:val="24"/>
        </w:rPr>
        <w:t xml:space="preserve"> </w:t>
      </w:r>
    </w:p>
    <w:p w14:paraId="0F7F502C" w14:textId="3CD4911E" w:rsidR="00C4643C" w:rsidRDefault="00C4643C" w:rsidP="009D11E8">
      <w:pPr>
        <w:spacing w:before="240" w:line="240" w:lineRule="auto"/>
        <w:ind w:firstLine="720"/>
        <w:rPr>
          <w:rFonts w:eastAsia="Times New Roman"/>
          <w:sz w:val="24"/>
          <w:szCs w:val="24"/>
        </w:rPr>
      </w:pPr>
      <w:r>
        <w:rPr>
          <w:rFonts w:eastAsia="Times New Roman"/>
          <w:sz w:val="24"/>
          <w:szCs w:val="24"/>
        </w:rPr>
        <w:t xml:space="preserve">Chapter 6 of the Legal Policy Manual contains information on the purpose of the PDP, a procedural overview, criteria for eligibility, PDP hearings process, victims’ rights, and non-criminal diversion actions </w:t>
      </w:r>
      <w:r w:rsidR="00935303">
        <w:rPr>
          <w:rFonts w:eastAsia="Times New Roman"/>
          <w:sz w:val="24"/>
          <w:szCs w:val="24"/>
        </w:rPr>
        <w:t>for</w:t>
      </w:r>
      <w:r>
        <w:rPr>
          <w:rFonts w:eastAsia="Times New Roman"/>
          <w:sz w:val="24"/>
          <w:szCs w:val="24"/>
        </w:rPr>
        <w:t xml:space="preserve"> business license </w:t>
      </w:r>
      <w:r w:rsidR="00935303">
        <w:rPr>
          <w:rFonts w:eastAsia="Times New Roman"/>
          <w:sz w:val="24"/>
          <w:szCs w:val="24"/>
        </w:rPr>
        <w:t>violations</w:t>
      </w:r>
      <w:r>
        <w:rPr>
          <w:rFonts w:eastAsia="Times New Roman"/>
          <w:sz w:val="24"/>
          <w:szCs w:val="24"/>
        </w:rPr>
        <w:t xml:space="preserve"> or other </w:t>
      </w:r>
      <w:r w:rsidR="0057064F">
        <w:rPr>
          <w:rFonts w:eastAsia="Times New Roman"/>
          <w:sz w:val="24"/>
          <w:szCs w:val="24"/>
        </w:rPr>
        <w:t xml:space="preserve">minor </w:t>
      </w:r>
      <w:r>
        <w:rPr>
          <w:rFonts w:eastAsia="Times New Roman"/>
          <w:sz w:val="24"/>
          <w:szCs w:val="24"/>
        </w:rPr>
        <w:t xml:space="preserve">consumer and </w:t>
      </w:r>
      <w:r>
        <w:rPr>
          <w:rFonts w:eastAsia="Times New Roman"/>
          <w:sz w:val="24"/>
          <w:szCs w:val="24"/>
        </w:rPr>
        <w:lastRenderedPageBreak/>
        <w:t xml:space="preserve">environmental </w:t>
      </w:r>
      <w:r w:rsidR="0057064F">
        <w:rPr>
          <w:rFonts w:eastAsia="Times New Roman"/>
          <w:sz w:val="24"/>
          <w:szCs w:val="24"/>
        </w:rPr>
        <w:t>violations</w:t>
      </w:r>
      <w:r>
        <w:rPr>
          <w:rFonts w:eastAsia="Times New Roman"/>
          <w:sz w:val="24"/>
          <w:szCs w:val="24"/>
        </w:rPr>
        <w:t>.</w:t>
      </w:r>
      <w:r w:rsidR="0057064F">
        <w:rPr>
          <w:rFonts w:eastAsia="Times New Roman"/>
          <w:sz w:val="24"/>
          <w:szCs w:val="24"/>
        </w:rPr>
        <w:t xml:space="preserve"> The purpose of the Pre-Filing Diversion Program is primarily to divert low-level, non-violent crimes from incarceration. Additional aims include collecting restitution for victims, directing the offender to rehabilitation services, imposing community service, reducing recidivism rates, and resolving minor problems before they become more seriou</w:t>
      </w:r>
      <w:r w:rsidR="0066594D">
        <w:rPr>
          <w:rFonts w:eastAsia="Times New Roman"/>
          <w:sz w:val="24"/>
          <w:szCs w:val="24"/>
        </w:rPr>
        <w:t>s.</w:t>
      </w:r>
    </w:p>
    <w:p w14:paraId="15C46C50" w14:textId="22B6843E" w:rsidR="00CA1BB3" w:rsidRDefault="004652DB" w:rsidP="009D11E8">
      <w:pPr>
        <w:spacing w:before="240" w:line="240" w:lineRule="auto"/>
        <w:ind w:firstLine="720"/>
        <w:rPr>
          <w:rFonts w:eastAsia="Times New Roman"/>
          <w:sz w:val="24"/>
          <w:szCs w:val="24"/>
        </w:rPr>
      </w:pPr>
      <w:r>
        <w:rPr>
          <w:rFonts w:eastAsia="Times New Roman"/>
          <w:sz w:val="24"/>
          <w:szCs w:val="24"/>
        </w:rPr>
        <w:t xml:space="preserve"> Pre-Filing Diversion decisions start with the filing deputy district attorney. The filing deputy first determines if the offender is “eligible and suitable” to participate. </w:t>
      </w:r>
      <w:r w:rsidR="00172E44">
        <w:rPr>
          <w:rFonts w:eastAsia="Times New Roman"/>
          <w:sz w:val="24"/>
          <w:szCs w:val="24"/>
        </w:rPr>
        <w:t>Generally, people who commit low-level</w:t>
      </w:r>
      <w:r w:rsidR="00561CFA">
        <w:rPr>
          <w:rFonts w:eastAsia="Times New Roman"/>
          <w:sz w:val="24"/>
          <w:szCs w:val="24"/>
        </w:rPr>
        <w:t>,</w:t>
      </w:r>
      <w:r w:rsidR="00172E44">
        <w:rPr>
          <w:rFonts w:eastAsia="Times New Roman"/>
          <w:sz w:val="24"/>
          <w:szCs w:val="24"/>
        </w:rPr>
        <w:t xml:space="preserve"> non-violent offenses are broadly eligible; however, the list of exceptions is lengthy and broad. Most notably, people to be associated with any “gang activity” broadly defined are explicitly </w:t>
      </w:r>
      <w:r w:rsidR="00561CFA">
        <w:rPr>
          <w:rFonts w:eastAsia="Times New Roman"/>
          <w:sz w:val="24"/>
          <w:szCs w:val="24"/>
        </w:rPr>
        <w:t>in</w:t>
      </w:r>
      <w:r w:rsidR="00172E44">
        <w:rPr>
          <w:rFonts w:eastAsia="Times New Roman"/>
          <w:sz w:val="24"/>
          <w:szCs w:val="24"/>
        </w:rPr>
        <w:t>eligib</w:t>
      </w:r>
      <w:r w:rsidR="00561CFA">
        <w:rPr>
          <w:rFonts w:eastAsia="Times New Roman"/>
          <w:sz w:val="24"/>
          <w:szCs w:val="24"/>
        </w:rPr>
        <w:t>le</w:t>
      </w:r>
      <w:r w:rsidR="00161D7E">
        <w:rPr>
          <w:rFonts w:eastAsia="Times New Roman"/>
          <w:sz w:val="24"/>
          <w:szCs w:val="24"/>
        </w:rPr>
        <w:t>, though deputies have the discretion to deviate for the general exceptions for good cause</w:t>
      </w:r>
      <w:r w:rsidR="00172E44">
        <w:rPr>
          <w:rFonts w:eastAsia="Times New Roman"/>
          <w:sz w:val="24"/>
          <w:szCs w:val="24"/>
        </w:rPr>
        <w:t>.</w:t>
      </w:r>
      <w:r w:rsidR="009430C0">
        <w:rPr>
          <w:rStyle w:val="FootnoteReference"/>
          <w:rFonts w:eastAsia="Times New Roman"/>
          <w:sz w:val="24"/>
          <w:szCs w:val="24"/>
        </w:rPr>
        <w:footnoteReference w:id="3"/>
      </w:r>
      <w:r w:rsidR="00172E44">
        <w:rPr>
          <w:rFonts w:eastAsia="Times New Roman"/>
          <w:sz w:val="24"/>
          <w:szCs w:val="24"/>
        </w:rPr>
        <w:t xml:space="preserve"> Also, the sale, transportation for sale, or possession for sale of drugs are also disqualifying, unless the offender has a </w:t>
      </w:r>
      <w:r w:rsidR="00561CFA">
        <w:rPr>
          <w:rFonts w:eastAsia="Times New Roman"/>
          <w:sz w:val="24"/>
          <w:szCs w:val="24"/>
        </w:rPr>
        <w:t>“documented”</w:t>
      </w:r>
      <w:r w:rsidR="00172E44">
        <w:rPr>
          <w:rFonts w:eastAsia="Times New Roman"/>
          <w:sz w:val="24"/>
          <w:szCs w:val="24"/>
        </w:rPr>
        <w:t xml:space="preserve"> history of addiction.</w:t>
      </w:r>
      <w:r w:rsidR="00161D7E">
        <w:rPr>
          <w:rFonts w:eastAsia="Times New Roman"/>
          <w:sz w:val="24"/>
          <w:szCs w:val="24"/>
        </w:rPr>
        <w:t xml:space="preserve"> The LADA denies “drug dealers” eligibility because their admittance into the PDP threatens the recovery of addicts</w:t>
      </w:r>
      <w:r w:rsidR="0066594D">
        <w:rPr>
          <w:rFonts w:eastAsia="Times New Roman"/>
          <w:sz w:val="24"/>
          <w:szCs w:val="24"/>
        </w:rPr>
        <w:t>.</w:t>
      </w:r>
    </w:p>
    <w:p w14:paraId="62E5645D" w14:textId="4E85F47F" w:rsidR="00634EEA" w:rsidRDefault="004652DB" w:rsidP="009D11E8">
      <w:pPr>
        <w:spacing w:before="240" w:line="240" w:lineRule="auto"/>
        <w:ind w:firstLine="720"/>
        <w:rPr>
          <w:rFonts w:eastAsia="Times New Roman"/>
          <w:sz w:val="24"/>
          <w:szCs w:val="24"/>
        </w:rPr>
      </w:pPr>
      <w:r>
        <w:rPr>
          <w:rFonts w:eastAsia="Times New Roman"/>
          <w:sz w:val="24"/>
          <w:szCs w:val="24"/>
        </w:rPr>
        <w:t xml:space="preserve">If the filing deputy </w:t>
      </w:r>
      <w:r w:rsidR="00A018E0">
        <w:rPr>
          <w:rFonts w:eastAsia="Times New Roman"/>
          <w:sz w:val="24"/>
          <w:szCs w:val="24"/>
        </w:rPr>
        <w:t>finds the suspected offender “eligible and suitable,”</w:t>
      </w:r>
      <w:r>
        <w:rPr>
          <w:rFonts w:eastAsia="Times New Roman"/>
          <w:sz w:val="24"/>
          <w:szCs w:val="24"/>
        </w:rPr>
        <w:t xml:space="preserve"> the deputy refers the offender to the Prefiling-Diversion Program, where a “PDP officer has discretion to accept or reject a candidate</w:t>
      </w:r>
      <w:r w:rsidR="002036DB">
        <w:rPr>
          <w:rFonts w:eastAsia="Times New Roman"/>
          <w:sz w:val="24"/>
          <w:szCs w:val="24"/>
        </w:rPr>
        <w:t xml:space="preserve"> upon the initial referral to the program, or at any time thereafter.” The deputy must notify the offender, victim(s), and arresting police agency of PDP hearing information. </w:t>
      </w:r>
      <w:r w:rsidR="00634EEA">
        <w:rPr>
          <w:rFonts w:eastAsia="Times New Roman"/>
          <w:sz w:val="24"/>
          <w:szCs w:val="24"/>
        </w:rPr>
        <w:t>During the hearing, attorneys are permitted for advising only but the suspected offenders must speak for themselves during the hearing. It is unclear whether suspected offenders with a public defender are entitled to have attorneys present.</w:t>
      </w:r>
    </w:p>
    <w:p w14:paraId="3B9A9CA8" w14:textId="291E8B5A" w:rsidR="009D11E8" w:rsidRDefault="002036DB" w:rsidP="009D11E8">
      <w:pPr>
        <w:spacing w:before="240" w:line="240" w:lineRule="auto"/>
        <w:ind w:firstLine="720"/>
        <w:rPr>
          <w:rFonts w:eastAsia="Times New Roman"/>
          <w:sz w:val="24"/>
          <w:szCs w:val="24"/>
        </w:rPr>
      </w:pPr>
      <w:r>
        <w:rPr>
          <w:rFonts w:eastAsia="Times New Roman"/>
          <w:sz w:val="24"/>
          <w:szCs w:val="24"/>
        </w:rPr>
        <w:t xml:space="preserve">If </w:t>
      </w:r>
      <w:r w:rsidR="00634EEA">
        <w:rPr>
          <w:rFonts w:eastAsia="Times New Roman"/>
          <w:sz w:val="24"/>
          <w:szCs w:val="24"/>
        </w:rPr>
        <w:t xml:space="preserve">suspected </w:t>
      </w:r>
      <w:r>
        <w:rPr>
          <w:rFonts w:eastAsia="Times New Roman"/>
          <w:sz w:val="24"/>
          <w:szCs w:val="24"/>
        </w:rPr>
        <w:t>offender is accepted, he or she must sign a contract agreeing to terms of PDP plan of supervision. The PDP officer reviews and verifies all documents concerning the enrollment and/or completion of the PDP plan. Upon successful completion, charges are dropped. If an offender fails, then the PDP officer refers the case to filing deputy for prosecution. Reasons for failure include commission of a new offense, nonpayment of restitution, inability or unwillingness to participate in program requirements.</w:t>
      </w:r>
      <w:r w:rsidR="00CA1BB3">
        <w:rPr>
          <w:rFonts w:eastAsia="Times New Roman"/>
          <w:sz w:val="24"/>
          <w:szCs w:val="24"/>
        </w:rPr>
        <w:t xml:space="preserve"> It’s unclear if nonpayment of other fines or fees, which one might consider a “program requirement,” also lead to program failure and prosecution.</w:t>
      </w:r>
    </w:p>
    <w:p w14:paraId="35D9BD78" w14:textId="208710A0" w:rsidR="002036DB" w:rsidRDefault="008C0921" w:rsidP="009D11E8">
      <w:pPr>
        <w:spacing w:before="240" w:line="240" w:lineRule="auto"/>
        <w:ind w:firstLine="720"/>
        <w:rPr>
          <w:rFonts w:eastAsia="Times New Roman"/>
          <w:sz w:val="24"/>
          <w:szCs w:val="24"/>
        </w:rPr>
      </w:pPr>
      <w:r>
        <w:rPr>
          <w:rFonts w:eastAsia="Times New Roman"/>
          <w:sz w:val="24"/>
          <w:szCs w:val="24"/>
        </w:rPr>
        <w:t>While the LADA provided no statistical information, the Legal Policy Manual states that the Pre-Filing Diversion officer must use the “PDP database to track each offender’s referral to, and participation in, the PDP.” PDP Officers must generate a monthly report. Also, PDP officers must enter the case information into the Prosecutors’ Information Management System (PIMS). The statistical information and file retention policy suggests the LADA should have more data than merely the summary data the office provided</w:t>
      </w:r>
      <w:r w:rsidR="000A4A4B">
        <w:rPr>
          <w:rFonts w:eastAsia="Times New Roman"/>
          <w:sz w:val="24"/>
          <w:szCs w:val="24"/>
        </w:rPr>
        <w:t xml:space="preserve"> to</w:t>
      </w:r>
      <w:r>
        <w:rPr>
          <w:rFonts w:eastAsia="Times New Roman"/>
          <w:sz w:val="24"/>
          <w:szCs w:val="24"/>
        </w:rPr>
        <w:t xml:space="preserve"> the ACLU.</w:t>
      </w:r>
      <w:r w:rsidR="000B26FD">
        <w:rPr>
          <w:rFonts w:eastAsia="Times New Roman"/>
          <w:sz w:val="24"/>
          <w:szCs w:val="24"/>
        </w:rPr>
        <w:t xml:space="preserve"> Judging by the LADA’s response to our request, these data </w:t>
      </w:r>
      <w:r w:rsidR="00BF70BE">
        <w:rPr>
          <w:rFonts w:eastAsia="Times New Roman"/>
          <w:sz w:val="24"/>
          <w:szCs w:val="24"/>
        </w:rPr>
        <w:t xml:space="preserve">either </w:t>
      </w:r>
      <w:r w:rsidR="000B26FD">
        <w:rPr>
          <w:rFonts w:eastAsia="Times New Roman"/>
          <w:sz w:val="24"/>
          <w:szCs w:val="24"/>
        </w:rPr>
        <w:t>are not tracked</w:t>
      </w:r>
      <w:r w:rsidR="000A4A4B">
        <w:rPr>
          <w:rFonts w:eastAsia="Times New Roman"/>
          <w:sz w:val="24"/>
          <w:szCs w:val="24"/>
        </w:rPr>
        <w:t xml:space="preserve"> according to policy</w:t>
      </w:r>
      <w:r w:rsidR="00BF70BE">
        <w:rPr>
          <w:rFonts w:eastAsia="Times New Roman"/>
          <w:sz w:val="24"/>
          <w:szCs w:val="24"/>
        </w:rPr>
        <w:t xml:space="preserve"> or require follow up clarification to retrieve</w:t>
      </w:r>
      <w:r w:rsidR="000A4A4B">
        <w:rPr>
          <w:rFonts w:eastAsia="Times New Roman"/>
          <w:sz w:val="24"/>
          <w:szCs w:val="24"/>
        </w:rPr>
        <w:t>.</w:t>
      </w:r>
    </w:p>
    <w:p w14:paraId="36BA87FF" w14:textId="77777777" w:rsidR="00A10CBB" w:rsidRDefault="00441D02" w:rsidP="00A10CBB">
      <w:pPr>
        <w:spacing w:before="240" w:line="240" w:lineRule="auto"/>
        <w:ind w:firstLine="720"/>
        <w:rPr>
          <w:rFonts w:eastAsia="Times New Roman"/>
          <w:color w:val="000000"/>
          <w:sz w:val="24"/>
          <w:szCs w:val="24"/>
        </w:rPr>
      </w:pPr>
      <w:r>
        <w:rPr>
          <w:rFonts w:eastAsia="Times New Roman"/>
          <w:color w:val="000000"/>
          <w:sz w:val="24"/>
          <w:szCs w:val="24"/>
          <w:u w:val="single"/>
        </w:rPr>
        <w:t>Recommended Next Steps</w:t>
      </w:r>
    </w:p>
    <w:p w14:paraId="7969FAA2" w14:textId="398A8F69" w:rsidR="00A10CBB" w:rsidRDefault="00A10CBB" w:rsidP="003F4AE0">
      <w:pPr>
        <w:spacing w:before="240" w:line="240" w:lineRule="auto"/>
        <w:ind w:firstLine="720"/>
        <w:rPr>
          <w:rFonts w:eastAsia="Times New Roman"/>
          <w:sz w:val="24"/>
          <w:szCs w:val="24"/>
        </w:rPr>
      </w:pPr>
      <w:r>
        <w:rPr>
          <w:rFonts w:eastAsia="Times New Roman"/>
          <w:sz w:val="24"/>
          <w:szCs w:val="24"/>
        </w:rPr>
        <w:lastRenderedPageBreak/>
        <w:t xml:space="preserve">While many of the pre-filing diversion program eligibility requirements are broadly set by the state legislature, </w:t>
      </w:r>
      <w:r w:rsidR="00C5703D">
        <w:rPr>
          <w:rFonts w:eastAsia="Times New Roman"/>
          <w:sz w:val="24"/>
          <w:szCs w:val="24"/>
        </w:rPr>
        <w:t>prosecutors</w:t>
      </w:r>
      <w:r>
        <w:rPr>
          <w:rFonts w:eastAsia="Times New Roman"/>
          <w:sz w:val="24"/>
          <w:szCs w:val="24"/>
        </w:rPr>
        <w:t xml:space="preserve"> wield significant discretion in the referral of PDP cases. Where the prosecutor does not refer a case </w:t>
      </w:r>
      <w:r w:rsidR="00C5703D">
        <w:rPr>
          <w:rFonts w:eastAsia="Times New Roman"/>
          <w:sz w:val="24"/>
          <w:szCs w:val="24"/>
        </w:rPr>
        <w:t xml:space="preserve">to the PDP officer </w:t>
      </w:r>
      <w:r>
        <w:rPr>
          <w:rFonts w:eastAsia="Times New Roman"/>
          <w:sz w:val="24"/>
          <w:szCs w:val="24"/>
        </w:rPr>
        <w:t>for diversion, the policy manual describes no other pathway for cases to be assessed for PDP eligibility.</w:t>
      </w:r>
      <w:r w:rsidR="00C5703D">
        <w:rPr>
          <w:rFonts w:eastAsia="Times New Roman"/>
          <w:sz w:val="24"/>
          <w:szCs w:val="24"/>
        </w:rPr>
        <w:t xml:space="preserve"> Certain offenses are explicitly disqualifying, including gang activity, DUI, possession of firearm, and sale of drugs. Even in those instances, the LADA provides that “circumstances may justify a deviation from the eligibility criteria.”</w:t>
      </w:r>
      <w:r w:rsidR="00C23152">
        <w:rPr>
          <w:rStyle w:val="FootnoteReference"/>
          <w:rFonts w:eastAsia="Times New Roman"/>
          <w:sz w:val="24"/>
          <w:szCs w:val="24"/>
        </w:rPr>
        <w:footnoteReference w:id="4"/>
      </w:r>
      <w:r w:rsidR="00C5703D">
        <w:rPr>
          <w:rFonts w:eastAsia="Times New Roman"/>
          <w:sz w:val="24"/>
          <w:szCs w:val="24"/>
        </w:rPr>
        <w:t xml:space="preserve"> The standard of review is without a foundation for accountability.</w:t>
      </w:r>
      <w:r w:rsidR="003F4AE0">
        <w:rPr>
          <w:rFonts w:eastAsia="Times New Roman"/>
          <w:sz w:val="24"/>
          <w:szCs w:val="24"/>
        </w:rPr>
        <w:t xml:space="preserve"> </w:t>
      </w:r>
      <w:r w:rsidR="00C5703D">
        <w:rPr>
          <w:rFonts w:eastAsia="Times New Roman"/>
          <w:sz w:val="24"/>
          <w:szCs w:val="24"/>
        </w:rPr>
        <w:t>The LADA’s claim that it does</w:t>
      </w:r>
      <w:r w:rsidR="003F4AE0">
        <w:rPr>
          <w:rFonts w:eastAsia="Times New Roman"/>
          <w:sz w:val="24"/>
          <w:szCs w:val="24"/>
        </w:rPr>
        <w:t xml:space="preserve"> not </w:t>
      </w:r>
      <w:r w:rsidR="00C5703D">
        <w:rPr>
          <w:rFonts w:eastAsia="Times New Roman"/>
          <w:sz w:val="24"/>
          <w:szCs w:val="24"/>
        </w:rPr>
        <w:t>track demographic data</w:t>
      </w:r>
      <w:r w:rsidR="003F4AE0">
        <w:rPr>
          <w:rFonts w:eastAsia="Times New Roman"/>
          <w:sz w:val="24"/>
          <w:szCs w:val="24"/>
        </w:rPr>
        <w:t xml:space="preserve"> </w:t>
      </w:r>
      <w:r w:rsidR="00C5703D">
        <w:rPr>
          <w:rFonts w:eastAsia="Times New Roman"/>
          <w:sz w:val="24"/>
          <w:szCs w:val="24"/>
        </w:rPr>
        <w:t xml:space="preserve">undermines any ability to test the fairness of the consideration for diversion programs. Given the LADA’s wide grant of </w:t>
      </w:r>
      <w:r w:rsidR="003F4AE0">
        <w:rPr>
          <w:rFonts w:eastAsia="Times New Roman"/>
          <w:sz w:val="24"/>
          <w:szCs w:val="24"/>
        </w:rPr>
        <w:t xml:space="preserve">prosecutorial </w:t>
      </w:r>
      <w:r w:rsidR="00C5703D">
        <w:rPr>
          <w:rFonts w:eastAsia="Times New Roman"/>
          <w:sz w:val="24"/>
          <w:szCs w:val="24"/>
        </w:rPr>
        <w:t>discretion, it</w:t>
      </w:r>
      <w:r w:rsidR="003F4AE0">
        <w:rPr>
          <w:rFonts w:eastAsia="Times New Roman"/>
          <w:sz w:val="24"/>
          <w:szCs w:val="24"/>
        </w:rPr>
        <w:t xml:space="preserve"> is</w:t>
      </w:r>
      <w:r w:rsidR="00C5703D">
        <w:rPr>
          <w:rFonts w:eastAsia="Times New Roman"/>
          <w:sz w:val="24"/>
          <w:szCs w:val="24"/>
        </w:rPr>
        <w:t xml:space="preserve"> p</w:t>
      </w:r>
      <w:r w:rsidR="003F4AE0">
        <w:rPr>
          <w:rFonts w:eastAsia="Times New Roman"/>
          <w:sz w:val="24"/>
          <w:szCs w:val="24"/>
        </w:rPr>
        <w:t>ossible</w:t>
      </w:r>
      <w:r w:rsidR="00C5703D">
        <w:rPr>
          <w:rFonts w:eastAsia="Times New Roman"/>
          <w:sz w:val="24"/>
          <w:szCs w:val="24"/>
        </w:rPr>
        <w:t xml:space="preserve"> that unconscious bias </w:t>
      </w:r>
      <w:r w:rsidR="003F4AE0">
        <w:rPr>
          <w:rFonts w:eastAsia="Times New Roman"/>
          <w:sz w:val="24"/>
          <w:szCs w:val="24"/>
        </w:rPr>
        <w:t>has created</w:t>
      </w:r>
      <w:r w:rsidR="00C5703D">
        <w:rPr>
          <w:rFonts w:eastAsia="Times New Roman"/>
          <w:sz w:val="24"/>
          <w:szCs w:val="24"/>
        </w:rPr>
        <w:t xml:space="preserve"> racial or other disparities in referrals for diversion. Without the data we cannot know one way or the other. Therefore, notwithstanding any model diversion policy, the LADA ought to consider the improve</w:t>
      </w:r>
      <w:r w:rsidR="003E34C0">
        <w:rPr>
          <w:rFonts w:eastAsia="Times New Roman"/>
          <w:sz w:val="24"/>
          <w:szCs w:val="24"/>
        </w:rPr>
        <w:t>ments to</w:t>
      </w:r>
      <w:r w:rsidR="00C5703D">
        <w:rPr>
          <w:rFonts w:eastAsia="Times New Roman"/>
          <w:sz w:val="24"/>
          <w:szCs w:val="24"/>
        </w:rPr>
        <w:t xml:space="preserve"> transparency and accountability in its pre-filing diversion programs:</w:t>
      </w:r>
    </w:p>
    <w:p w14:paraId="57D92850" w14:textId="7EDB8F52" w:rsidR="00C5703D" w:rsidRDefault="003F4AE0" w:rsidP="00C5703D">
      <w:pPr>
        <w:pStyle w:val="ListParagraph"/>
        <w:numPr>
          <w:ilvl w:val="0"/>
          <w:numId w:val="3"/>
        </w:numPr>
        <w:spacing w:before="240" w:line="240" w:lineRule="auto"/>
        <w:rPr>
          <w:rFonts w:eastAsia="Times New Roman"/>
          <w:sz w:val="24"/>
          <w:szCs w:val="24"/>
        </w:rPr>
      </w:pPr>
      <w:r>
        <w:rPr>
          <w:rFonts w:eastAsia="Times New Roman"/>
          <w:sz w:val="24"/>
          <w:szCs w:val="24"/>
        </w:rPr>
        <w:t xml:space="preserve">Track and retain data concerning referrals, program success and failure, and demographics of people </w:t>
      </w:r>
      <w:r w:rsidR="00431FED">
        <w:rPr>
          <w:rFonts w:eastAsia="Times New Roman"/>
          <w:sz w:val="24"/>
          <w:szCs w:val="24"/>
        </w:rPr>
        <w:t>who are eligible and referred for these</w:t>
      </w:r>
      <w:r>
        <w:rPr>
          <w:rFonts w:eastAsia="Times New Roman"/>
          <w:sz w:val="24"/>
          <w:szCs w:val="24"/>
        </w:rPr>
        <w:t xml:space="preserve"> diversion programs.</w:t>
      </w:r>
    </w:p>
    <w:p w14:paraId="19CAA12E" w14:textId="18234936" w:rsidR="003F4AE0" w:rsidRDefault="003F4AE0" w:rsidP="00C5703D">
      <w:pPr>
        <w:pStyle w:val="ListParagraph"/>
        <w:numPr>
          <w:ilvl w:val="0"/>
          <w:numId w:val="3"/>
        </w:numPr>
        <w:spacing w:before="240" w:line="240" w:lineRule="auto"/>
        <w:rPr>
          <w:rFonts w:eastAsia="Times New Roman"/>
          <w:sz w:val="24"/>
          <w:szCs w:val="24"/>
        </w:rPr>
      </w:pPr>
      <w:r>
        <w:rPr>
          <w:rFonts w:eastAsia="Times New Roman"/>
          <w:sz w:val="24"/>
          <w:szCs w:val="24"/>
        </w:rPr>
        <w:t>Provide additional guidance to line deputies concerning what “circumstances may justify a deviation from the eligibility criteria.”</w:t>
      </w:r>
    </w:p>
    <w:p w14:paraId="1CBC4934" w14:textId="3E0E6A1E" w:rsidR="00F64603" w:rsidRDefault="00F64603" w:rsidP="00C5703D">
      <w:pPr>
        <w:pStyle w:val="ListParagraph"/>
        <w:numPr>
          <w:ilvl w:val="0"/>
          <w:numId w:val="3"/>
        </w:numPr>
        <w:spacing w:before="240" w:line="240" w:lineRule="auto"/>
        <w:rPr>
          <w:rFonts w:eastAsia="Times New Roman"/>
          <w:sz w:val="24"/>
          <w:szCs w:val="24"/>
        </w:rPr>
      </w:pPr>
      <w:r>
        <w:rPr>
          <w:rFonts w:eastAsia="Times New Roman"/>
          <w:sz w:val="24"/>
          <w:szCs w:val="24"/>
        </w:rPr>
        <w:t>Require line deputies to state their reason(s) for (in)eligibility or (un)suitability.</w:t>
      </w:r>
    </w:p>
    <w:p w14:paraId="3E4F5C55" w14:textId="20FE5905" w:rsidR="003F4AE0" w:rsidRDefault="003F4AE0" w:rsidP="00C5703D">
      <w:pPr>
        <w:pStyle w:val="ListParagraph"/>
        <w:numPr>
          <w:ilvl w:val="0"/>
          <w:numId w:val="3"/>
        </w:numPr>
        <w:spacing w:before="240" w:line="240" w:lineRule="auto"/>
        <w:rPr>
          <w:rFonts w:eastAsia="Times New Roman"/>
          <w:sz w:val="24"/>
          <w:szCs w:val="24"/>
        </w:rPr>
      </w:pPr>
      <w:r>
        <w:rPr>
          <w:rFonts w:eastAsia="Times New Roman"/>
          <w:sz w:val="24"/>
          <w:szCs w:val="24"/>
        </w:rPr>
        <w:t>Update this policy consistent with updated list of decline-to-charge offenses.</w:t>
      </w:r>
    </w:p>
    <w:p w14:paraId="58A9E7B0" w14:textId="38F19056" w:rsidR="00D00EF6" w:rsidRPr="00C5703D" w:rsidRDefault="00D00EF6" w:rsidP="00C5703D">
      <w:pPr>
        <w:pStyle w:val="ListParagraph"/>
        <w:numPr>
          <w:ilvl w:val="0"/>
          <w:numId w:val="3"/>
        </w:numPr>
        <w:spacing w:before="240" w:line="240" w:lineRule="auto"/>
        <w:rPr>
          <w:rFonts w:eastAsia="Times New Roman"/>
          <w:sz w:val="24"/>
          <w:szCs w:val="24"/>
        </w:rPr>
      </w:pPr>
      <w:r>
        <w:rPr>
          <w:rFonts w:eastAsia="Times New Roman"/>
          <w:sz w:val="24"/>
          <w:szCs w:val="24"/>
        </w:rPr>
        <w:t>Clarify when ability to pay may weigh in suitability for pre-filing diversion programs where restitution and additions administrative fees are required for successful completion.</w:t>
      </w:r>
    </w:p>
    <w:p w14:paraId="23766645" w14:textId="5ECD1BB6" w:rsidR="00423478" w:rsidRDefault="00423478" w:rsidP="00423478">
      <w:pPr>
        <w:spacing w:before="240"/>
        <w:jc w:val="center"/>
        <w:rPr>
          <w:b/>
          <w:sz w:val="24"/>
          <w:szCs w:val="24"/>
        </w:rPr>
      </w:pPr>
      <w:r>
        <w:rPr>
          <w:b/>
          <w:sz w:val="24"/>
          <w:szCs w:val="24"/>
        </w:rPr>
        <w:t>Request Item #3</w:t>
      </w:r>
      <w:r w:rsidR="001F24C3">
        <w:rPr>
          <w:b/>
          <w:sz w:val="24"/>
          <w:szCs w:val="24"/>
        </w:rPr>
        <w:t xml:space="preserve"> – Parole Hearings</w:t>
      </w:r>
    </w:p>
    <w:p w14:paraId="103E17F2" w14:textId="77777777" w:rsidR="00423478" w:rsidRDefault="00441D02" w:rsidP="00423478">
      <w:pPr>
        <w:spacing w:before="240" w:line="276" w:lineRule="auto"/>
        <w:ind w:firstLine="720"/>
        <w:rPr>
          <w:sz w:val="24"/>
          <w:szCs w:val="24"/>
          <w:u w:val="single"/>
        </w:rPr>
      </w:pPr>
      <w:r>
        <w:rPr>
          <w:sz w:val="24"/>
          <w:szCs w:val="24"/>
          <w:u w:val="single"/>
        </w:rPr>
        <w:t>ACLU PRA Request</w:t>
      </w:r>
    </w:p>
    <w:p w14:paraId="39295F34" w14:textId="5525DB5C" w:rsidR="00423478" w:rsidRDefault="00423478" w:rsidP="00423478">
      <w:pPr>
        <w:numPr>
          <w:ilvl w:val="0"/>
          <w:numId w:val="1"/>
        </w:numPr>
        <w:spacing w:after="0" w:line="276" w:lineRule="auto"/>
        <w:rPr>
          <w:rFonts w:eastAsia="Times New Roman"/>
          <w:i/>
          <w:sz w:val="24"/>
          <w:szCs w:val="24"/>
        </w:rPr>
      </w:pPr>
      <w:r>
        <w:rPr>
          <w:rFonts w:eastAsia="Times New Roman"/>
          <w:i/>
          <w:sz w:val="24"/>
          <w:szCs w:val="24"/>
        </w:rPr>
        <w:t>All records relating to how many parole hearings the office attended, how many hearings your office opposed, and how many parole hearings your office opposed when the next of kin took no position in the calendar years of 2017 and 2018.</w:t>
      </w:r>
    </w:p>
    <w:p w14:paraId="033621E4" w14:textId="77777777" w:rsidR="00423478" w:rsidRDefault="00441D02" w:rsidP="00423478">
      <w:pPr>
        <w:spacing w:before="240" w:line="276" w:lineRule="auto"/>
        <w:ind w:firstLine="720"/>
        <w:rPr>
          <w:rFonts w:eastAsia="Times New Roman"/>
          <w:sz w:val="24"/>
          <w:szCs w:val="24"/>
        </w:rPr>
      </w:pPr>
      <w:r w:rsidRPr="00441D02">
        <w:rPr>
          <w:rFonts w:eastAsia="Times New Roman"/>
          <w:sz w:val="24"/>
          <w:szCs w:val="24"/>
          <w:u w:val="single"/>
        </w:rPr>
        <w:t>District Attorney Response</w:t>
      </w:r>
    </w:p>
    <w:p w14:paraId="4EBECCB1" w14:textId="313F6D02" w:rsidR="00423478" w:rsidRDefault="00A8228D" w:rsidP="0052326B">
      <w:pPr>
        <w:spacing w:before="240" w:line="240" w:lineRule="auto"/>
        <w:ind w:firstLine="720"/>
        <w:rPr>
          <w:rFonts w:eastAsia="Times New Roman"/>
          <w:sz w:val="24"/>
          <w:szCs w:val="24"/>
        </w:rPr>
      </w:pPr>
      <w:r>
        <w:rPr>
          <w:rFonts w:eastAsia="Times New Roman"/>
          <w:sz w:val="24"/>
          <w:szCs w:val="24"/>
        </w:rPr>
        <w:t>The LADA provided</w:t>
      </w:r>
      <w:r w:rsidR="0052326B" w:rsidRPr="0052326B">
        <w:rPr>
          <w:rFonts w:eastAsia="Times New Roman"/>
          <w:sz w:val="24"/>
          <w:szCs w:val="24"/>
        </w:rPr>
        <w:t xml:space="preserve"> </w:t>
      </w:r>
      <w:r w:rsidR="006C7006">
        <w:rPr>
          <w:rFonts w:eastAsia="Times New Roman"/>
          <w:sz w:val="24"/>
          <w:szCs w:val="24"/>
        </w:rPr>
        <w:t>two partially responsive documents</w:t>
      </w:r>
      <w:r w:rsidR="0052326B" w:rsidRPr="0052326B">
        <w:rPr>
          <w:rFonts w:eastAsia="Times New Roman"/>
          <w:sz w:val="24"/>
          <w:szCs w:val="24"/>
        </w:rPr>
        <w:t xml:space="preserve">. Both are spreadsheets indicating the number of parole hearings </w:t>
      </w:r>
      <w:r w:rsidR="00CF1D49">
        <w:rPr>
          <w:rFonts w:eastAsia="Times New Roman"/>
          <w:sz w:val="24"/>
          <w:szCs w:val="24"/>
        </w:rPr>
        <w:t xml:space="preserve">LADA deputies attended each month in </w:t>
      </w:r>
      <w:r w:rsidR="0052326B" w:rsidRPr="0052326B">
        <w:rPr>
          <w:rFonts w:eastAsia="Times New Roman"/>
          <w:sz w:val="24"/>
          <w:szCs w:val="24"/>
        </w:rPr>
        <w:t>2017 and 2018.</w:t>
      </w:r>
      <w:r w:rsidR="0052326B">
        <w:rPr>
          <w:rFonts w:eastAsia="Times New Roman"/>
          <w:sz w:val="24"/>
          <w:szCs w:val="24"/>
        </w:rPr>
        <w:t xml:space="preserve"> </w:t>
      </w:r>
      <w:r w:rsidR="0052326B" w:rsidRPr="0052326B">
        <w:rPr>
          <w:rFonts w:eastAsia="Times New Roman"/>
          <w:sz w:val="24"/>
          <w:szCs w:val="24"/>
        </w:rPr>
        <w:t>The</w:t>
      </w:r>
      <w:r w:rsidR="000F445C">
        <w:rPr>
          <w:rFonts w:eastAsia="Times New Roman"/>
          <w:sz w:val="24"/>
          <w:szCs w:val="24"/>
        </w:rPr>
        <w:t xml:space="preserve"> LADA</w:t>
      </w:r>
      <w:r w:rsidR="0052326B" w:rsidRPr="0052326B">
        <w:rPr>
          <w:rFonts w:eastAsia="Times New Roman"/>
          <w:sz w:val="24"/>
          <w:szCs w:val="24"/>
        </w:rPr>
        <w:t xml:space="preserve"> do</w:t>
      </w:r>
      <w:r w:rsidR="000F445C">
        <w:rPr>
          <w:rFonts w:eastAsia="Times New Roman"/>
          <w:sz w:val="24"/>
          <w:szCs w:val="24"/>
        </w:rPr>
        <w:t>es</w:t>
      </w:r>
      <w:r w:rsidR="0052326B" w:rsidRPr="0052326B">
        <w:rPr>
          <w:rFonts w:eastAsia="Times New Roman"/>
          <w:sz w:val="24"/>
          <w:szCs w:val="24"/>
        </w:rPr>
        <w:t xml:space="preserve"> not keep stat</w:t>
      </w:r>
      <w:r w:rsidR="000F445C">
        <w:rPr>
          <w:rFonts w:eastAsia="Times New Roman"/>
          <w:sz w:val="24"/>
          <w:szCs w:val="24"/>
        </w:rPr>
        <w:t>istics</w:t>
      </w:r>
      <w:r w:rsidR="0052326B" w:rsidRPr="0052326B">
        <w:rPr>
          <w:rFonts w:eastAsia="Times New Roman"/>
          <w:sz w:val="24"/>
          <w:szCs w:val="24"/>
        </w:rPr>
        <w:t xml:space="preserve"> on </w:t>
      </w:r>
      <w:r w:rsidR="000F445C">
        <w:rPr>
          <w:rFonts w:eastAsia="Times New Roman"/>
          <w:sz w:val="24"/>
          <w:szCs w:val="24"/>
        </w:rPr>
        <w:t xml:space="preserve">demographics of the people up for parole. The LADA does not keep information on whether the office opposed the inmate’s release, and thus whether LADA deputies at those </w:t>
      </w:r>
      <w:r w:rsidR="0052326B" w:rsidRPr="0052326B">
        <w:rPr>
          <w:rFonts w:eastAsia="Times New Roman"/>
          <w:sz w:val="24"/>
          <w:szCs w:val="24"/>
        </w:rPr>
        <w:t>parole hearings opposed</w:t>
      </w:r>
      <w:r w:rsidR="000F445C">
        <w:rPr>
          <w:rFonts w:eastAsia="Times New Roman"/>
          <w:sz w:val="24"/>
          <w:szCs w:val="24"/>
        </w:rPr>
        <w:t xml:space="preserve"> inmate release</w:t>
      </w:r>
      <w:r w:rsidR="0052326B" w:rsidRPr="0052326B">
        <w:rPr>
          <w:rFonts w:eastAsia="Times New Roman"/>
          <w:sz w:val="24"/>
          <w:szCs w:val="24"/>
        </w:rPr>
        <w:t xml:space="preserve"> when next of kin took no position.</w:t>
      </w:r>
      <w:r w:rsidR="000F445C">
        <w:rPr>
          <w:rFonts w:eastAsia="Times New Roman"/>
          <w:sz w:val="24"/>
          <w:szCs w:val="24"/>
        </w:rPr>
        <w:t xml:space="preserve"> The LADA failed to provide any office policies, protocols, or guidelines concerning LADA line deputies’ presence or participation in parole hearings.</w:t>
      </w:r>
    </w:p>
    <w:p w14:paraId="08BF8A3B" w14:textId="77777777" w:rsidR="00423478" w:rsidRDefault="00441D02" w:rsidP="00423478">
      <w:pPr>
        <w:spacing w:before="240" w:line="240" w:lineRule="auto"/>
        <w:ind w:firstLine="720"/>
        <w:rPr>
          <w:rFonts w:eastAsia="Times New Roman"/>
          <w:color w:val="000000"/>
          <w:sz w:val="24"/>
          <w:szCs w:val="24"/>
        </w:rPr>
      </w:pPr>
      <w:r>
        <w:rPr>
          <w:rFonts w:eastAsia="Times New Roman"/>
          <w:color w:val="000000"/>
          <w:sz w:val="24"/>
          <w:szCs w:val="24"/>
          <w:u w:val="single"/>
        </w:rPr>
        <w:t>Recommended Next Steps</w:t>
      </w:r>
    </w:p>
    <w:p w14:paraId="3726C171" w14:textId="7455BA5E" w:rsidR="00423478" w:rsidRDefault="00870C36" w:rsidP="00423478">
      <w:pPr>
        <w:spacing w:before="240"/>
        <w:ind w:firstLine="720"/>
        <w:rPr>
          <w:rFonts w:eastAsia="Times New Roman"/>
          <w:sz w:val="24"/>
          <w:szCs w:val="24"/>
        </w:rPr>
      </w:pPr>
      <w:r>
        <w:rPr>
          <w:rFonts w:eastAsia="Times New Roman"/>
          <w:sz w:val="24"/>
          <w:szCs w:val="24"/>
        </w:rPr>
        <w:lastRenderedPageBreak/>
        <w:t>While prosecutors do not have decision-making power over the release of incarcerated people to parole, a prosecutor’s presence in a parole hearing and position on an inmate’s suitability</w:t>
      </w:r>
      <w:r w:rsidR="00914E36">
        <w:rPr>
          <w:rFonts w:eastAsia="Times New Roman"/>
          <w:sz w:val="24"/>
          <w:szCs w:val="24"/>
        </w:rPr>
        <w:t xml:space="preserve"> can</w:t>
      </w:r>
      <w:r>
        <w:rPr>
          <w:rFonts w:eastAsia="Times New Roman"/>
          <w:sz w:val="24"/>
          <w:szCs w:val="24"/>
        </w:rPr>
        <w:t xml:space="preserve"> </w:t>
      </w:r>
      <w:r w:rsidR="00FC725A">
        <w:rPr>
          <w:rFonts w:eastAsia="Times New Roman"/>
          <w:sz w:val="24"/>
          <w:szCs w:val="24"/>
        </w:rPr>
        <w:t>influence</w:t>
      </w:r>
      <w:r>
        <w:rPr>
          <w:rFonts w:eastAsia="Times New Roman"/>
          <w:sz w:val="24"/>
          <w:szCs w:val="24"/>
        </w:rPr>
        <w:t xml:space="preserve"> the release or continued confinement of incarcerated people. </w:t>
      </w:r>
      <w:r w:rsidR="008D4D50">
        <w:rPr>
          <w:rFonts w:eastAsia="Times New Roman"/>
          <w:sz w:val="24"/>
          <w:szCs w:val="24"/>
        </w:rPr>
        <w:t>According to the Brooklyn District Attorney Eric Gonzalez, “For too long, prosecutors across the country have automatically and reflexively opposed release when individuals become eligible for parole.”</w:t>
      </w:r>
      <w:r w:rsidR="008D4D50">
        <w:rPr>
          <w:rStyle w:val="FootnoteReference"/>
          <w:rFonts w:eastAsia="Times New Roman"/>
          <w:sz w:val="24"/>
          <w:szCs w:val="24"/>
        </w:rPr>
        <w:footnoteReference w:id="5"/>
      </w:r>
      <w:r w:rsidR="008D4D50">
        <w:rPr>
          <w:rFonts w:eastAsia="Times New Roman"/>
          <w:sz w:val="24"/>
          <w:szCs w:val="24"/>
        </w:rPr>
        <w:t xml:space="preserve"> Without the data to investigate the practices of the LADA’s office in parole hearings, the public cannot evaluate the office’s participation in parole hearings or their consequences on mass incarceration. In the interest of transparency, </w:t>
      </w:r>
      <w:r w:rsidR="00077419">
        <w:rPr>
          <w:rFonts w:eastAsia="Times New Roman"/>
          <w:sz w:val="24"/>
          <w:szCs w:val="24"/>
        </w:rPr>
        <w:t>accountability, and “the fair and ethical pursuit of justice,”</w:t>
      </w:r>
      <w:r w:rsidR="00077419">
        <w:rPr>
          <w:rStyle w:val="FootnoteReference"/>
          <w:rFonts w:eastAsia="Times New Roman"/>
          <w:sz w:val="24"/>
          <w:szCs w:val="24"/>
        </w:rPr>
        <w:footnoteReference w:id="6"/>
      </w:r>
      <w:r w:rsidR="00077419">
        <w:rPr>
          <w:rFonts w:eastAsia="Times New Roman"/>
          <w:sz w:val="24"/>
          <w:szCs w:val="24"/>
        </w:rPr>
        <w:t xml:space="preserve"> the LADA’s office should consider adopting the following reforms:</w:t>
      </w:r>
    </w:p>
    <w:p w14:paraId="3056D61D" w14:textId="42A95E13" w:rsidR="007E2463" w:rsidRDefault="007E2463" w:rsidP="00077419">
      <w:pPr>
        <w:pStyle w:val="ListParagraph"/>
        <w:numPr>
          <w:ilvl w:val="0"/>
          <w:numId w:val="4"/>
        </w:numPr>
        <w:spacing w:before="240"/>
        <w:rPr>
          <w:rFonts w:eastAsia="Times New Roman"/>
          <w:sz w:val="24"/>
          <w:szCs w:val="24"/>
        </w:rPr>
      </w:pPr>
      <w:r>
        <w:rPr>
          <w:rFonts w:eastAsia="Times New Roman"/>
          <w:sz w:val="24"/>
          <w:szCs w:val="24"/>
        </w:rPr>
        <w:t>Begin tracking the data on line deputy parole hearing participation, including whether the deputy’s recommendation is for or against release and the reasons</w:t>
      </w:r>
      <w:r w:rsidR="00AD45B5">
        <w:rPr>
          <w:rFonts w:eastAsia="Times New Roman"/>
          <w:sz w:val="24"/>
          <w:szCs w:val="24"/>
        </w:rPr>
        <w:t xml:space="preserve"> for that decision.</w:t>
      </w:r>
    </w:p>
    <w:p w14:paraId="17DBAD26" w14:textId="6AA75438" w:rsidR="00077419" w:rsidRDefault="00077419" w:rsidP="00077419">
      <w:pPr>
        <w:pStyle w:val="ListParagraph"/>
        <w:numPr>
          <w:ilvl w:val="0"/>
          <w:numId w:val="4"/>
        </w:numPr>
        <w:spacing w:before="240"/>
        <w:rPr>
          <w:rFonts w:eastAsia="Times New Roman"/>
          <w:sz w:val="24"/>
          <w:szCs w:val="24"/>
        </w:rPr>
      </w:pPr>
      <w:r>
        <w:rPr>
          <w:rFonts w:eastAsia="Times New Roman"/>
          <w:sz w:val="24"/>
          <w:szCs w:val="24"/>
        </w:rPr>
        <w:t xml:space="preserve">Expand the </w:t>
      </w:r>
      <w:r w:rsidR="00991FE0">
        <w:rPr>
          <w:rFonts w:eastAsia="Times New Roman"/>
          <w:sz w:val="24"/>
          <w:szCs w:val="24"/>
        </w:rPr>
        <w:t xml:space="preserve">staffing and </w:t>
      </w:r>
      <w:r>
        <w:rPr>
          <w:rFonts w:eastAsia="Times New Roman"/>
          <w:sz w:val="24"/>
          <w:szCs w:val="24"/>
        </w:rPr>
        <w:t>role of Parole</w:t>
      </w:r>
      <w:r>
        <w:rPr>
          <w:rStyle w:val="FootnoteReference"/>
          <w:rFonts w:eastAsia="Times New Roman"/>
          <w:sz w:val="24"/>
          <w:szCs w:val="24"/>
        </w:rPr>
        <w:footnoteReference w:id="7"/>
      </w:r>
      <w:r>
        <w:rPr>
          <w:rFonts w:eastAsia="Times New Roman"/>
          <w:sz w:val="24"/>
          <w:szCs w:val="24"/>
        </w:rPr>
        <w:t xml:space="preserve"> and Conviction Review</w:t>
      </w:r>
      <w:r>
        <w:rPr>
          <w:rStyle w:val="FootnoteReference"/>
          <w:rFonts w:eastAsia="Times New Roman"/>
          <w:sz w:val="24"/>
          <w:szCs w:val="24"/>
        </w:rPr>
        <w:footnoteReference w:id="8"/>
      </w:r>
      <w:r w:rsidR="00991FE0">
        <w:rPr>
          <w:rFonts w:eastAsia="Times New Roman"/>
          <w:sz w:val="24"/>
          <w:szCs w:val="24"/>
        </w:rPr>
        <w:t xml:space="preserve"> to </w:t>
      </w:r>
      <w:r w:rsidR="007E2463">
        <w:rPr>
          <w:rFonts w:eastAsia="Times New Roman"/>
          <w:sz w:val="24"/>
          <w:szCs w:val="24"/>
        </w:rPr>
        <w:t>develop and implement the following policy positions:</w:t>
      </w:r>
    </w:p>
    <w:p w14:paraId="574BC771" w14:textId="0313ED83" w:rsidR="007E2463" w:rsidRDefault="007E2463" w:rsidP="007E2463">
      <w:pPr>
        <w:pStyle w:val="ListParagraph"/>
        <w:numPr>
          <w:ilvl w:val="1"/>
          <w:numId w:val="4"/>
        </w:numPr>
        <w:spacing w:before="240"/>
        <w:rPr>
          <w:rFonts w:eastAsia="Times New Roman"/>
          <w:sz w:val="24"/>
          <w:szCs w:val="24"/>
        </w:rPr>
      </w:pPr>
      <w:r>
        <w:rPr>
          <w:rFonts w:eastAsia="Times New Roman"/>
          <w:sz w:val="24"/>
          <w:szCs w:val="24"/>
        </w:rPr>
        <w:t>For cases ending with guilty pleas, the LADA’s default position is to support the defendant’s release at his or her first parole opportunity (subject to record in prison and other considerations).</w:t>
      </w:r>
    </w:p>
    <w:p w14:paraId="2E8B5DF5" w14:textId="72186D18" w:rsidR="007E2463" w:rsidRDefault="007E2463" w:rsidP="007E2463">
      <w:pPr>
        <w:pStyle w:val="ListParagraph"/>
        <w:numPr>
          <w:ilvl w:val="1"/>
          <w:numId w:val="4"/>
        </w:numPr>
        <w:spacing w:before="240"/>
        <w:rPr>
          <w:rFonts w:eastAsia="Times New Roman"/>
          <w:sz w:val="24"/>
          <w:szCs w:val="24"/>
        </w:rPr>
      </w:pPr>
      <w:r>
        <w:rPr>
          <w:rFonts w:eastAsia="Times New Roman"/>
          <w:sz w:val="24"/>
          <w:szCs w:val="24"/>
        </w:rPr>
        <w:t>For juvenile cases with indeterminate life sentences, the LADA give special considerations in parole determinations to ensure meaningful inquiry into whether those individuals have matured into appropriate candidates for release.</w:t>
      </w:r>
    </w:p>
    <w:p w14:paraId="3FB888CF" w14:textId="3DC10705" w:rsidR="007E2463" w:rsidRDefault="007E2463" w:rsidP="007E2463">
      <w:pPr>
        <w:pStyle w:val="ListParagraph"/>
        <w:numPr>
          <w:ilvl w:val="1"/>
          <w:numId w:val="4"/>
        </w:numPr>
        <w:spacing w:before="240"/>
        <w:rPr>
          <w:rFonts w:eastAsia="Times New Roman"/>
          <w:sz w:val="24"/>
          <w:szCs w:val="24"/>
        </w:rPr>
      </w:pPr>
      <w:r>
        <w:rPr>
          <w:rFonts w:eastAsia="Times New Roman"/>
          <w:sz w:val="24"/>
          <w:szCs w:val="24"/>
        </w:rPr>
        <w:t>Partnering with transitional services to identify defendants who merit early parole</w:t>
      </w:r>
      <w:r w:rsidR="00562860">
        <w:rPr>
          <w:rFonts w:eastAsia="Times New Roman"/>
          <w:sz w:val="24"/>
          <w:szCs w:val="24"/>
        </w:rPr>
        <w:t>.</w:t>
      </w:r>
    </w:p>
    <w:p w14:paraId="71804BAD" w14:textId="094D1075" w:rsidR="00BE6346" w:rsidRDefault="007E2463" w:rsidP="00AD45B5">
      <w:pPr>
        <w:pStyle w:val="ListParagraph"/>
        <w:numPr>
          <w:ilvl w:val="1"/>
          <w:numId w:val="4"/>
        </w:numPr>
        <w:spacing w:before="240"/>
        <w:rPr>
          <w:rFonts w:eastAsia="Times New Roman"/>
          <w:sz w:val="24"/>
          <w:szCs w:val="24"/>
        </w:rPr>
      </w:pPr>
      <w:r>
        <w:rPr>
          <w:rFonts w:eastAsia="Times New Roman"/>
          <w:sz w:val="24"/>
          <w:szCs w:val="24"/>
        </w:rPr>
        <w:t>Training guidelines and assistance for line deputies on their parole recommendations.</w:t>
      </w:r>
    </w:p>
    <w:p w14:paraId="6C7D0203" w14:textId="3AD81FCE" w:rsidR="00AD45B5" w:rsidRPr="00AD45B5" w:rsidRDefault="00AD45B5" w:rsidP="00AD45B5">
      <w:pPr>
        <w:pStyle w:val="ListParagraph"/>
        <w:numPr>
          <w:ilvl w:val="0"/>
          <w:numId w:val="4"/>
        </w:numPr>
        <w:spacing w:before="240"/>
        <w:rPr>
          <w:rFonts w:eastAsia="Times New Roman"/>
          <w:sz w:val="24"/>
          <w:szCs w:val="24"/>
        </w:rPr>
      </w:pPr>
      <w:r>
        <w:rPr>
          <w:rFonts w:eastAsia="Times New Roman"/>
          <w:sz w:val="24"/>
          <w:szCs w:val="24"/>
        </w:rPr>
        <w:t>Establish a policy and practice for including in published reports information on annual data on the LADA’s parole recommendations.</w:t>
      </w:r>
    </w:p>
    <w:p w14:paraId="64D7D4E1" w14:textId="5A91D2A3" w:rsidR="00423478" w:rsidRDefault="00423478" w:rsidP="00423478">
      <w:pPr>
        <w:spacing w:before="240"/>
        <w:jc w:val="center"/>
        <w:rPr>
          <w:b/>
          <w:sz w:val="24"/>
          <w:szCs w:val="24"/>
        </w:rPr>
      </w:pPr>
      <w:r>
        <w:rPr>
          <w:b/>
          <w:sz w:val="24"/>
          <w:szCs w:val="24"/>
        </w:rPr>
        <w:t>Request Item #4</w:t>
      </w:r>
      <w:r w:rsidR="001F24C3">
        <w:rPr>
          <w:b/>
          <w:sz w:val="24"/>
          <w:szCs w:val="24"/>
        </w:rPr>
        <w:t xml:space="preserve"> – Office Policies, Protocols, and Guidelines</w:t>
      </w:r>
    </w:p>
    <w:p w14:paraId="470EAADB" w14:textId="77777777" w:rsidR="00423478" w:rsidRDefault="00441D02" w:rsidP="00423478">
      <w:pPr>
        <w:spacing w:before="240" w:line="276" w:lineRule="auto"/>
        <w:ind w:firstLine="720"/>
        <w:rPr>
          <w:sz w:val="24"/>
          <w:szCs w:val="24"/>
          <w:u w:val="single"/>
        </w:rPr>
      </w:pPr>
      <w:r>
        <w:rPr>
          <w:sz w:val="24"/>
          <w:szCs w:val="24"/>
          <w:u w:val="single"/>
        </w:rPr>
        <w:t>ACLU PRA Request</w:t>
      </w:r>
    </w:p>
    <w:p w14:paraId="18BD7BB6" w14:textId="67E86ED3" w:rsidR="00423478" w:rsidRDefault="00423478" w:rsidP="00423478">
      <w:pPr>
        <w:numPr>
          <w:ilvl w:val="0"/>
          <w:numId w:val="1"/>
        </w:numPr>
        <w:spacing w:after="0" w:line="276" w:lineRule="auto"/>
        <w:rPr>
          <w:rFonts w:eastAsia="Times New Roman"/>
          <w:i/>
          <w:sz w:val="24"/>
          <w:szCs w:val="24"/>
        </w:rPr>
      </w:pPr>
      <w:r>
        <w:rPr>
          <w:rFonts w:eastAsia="Times New Roman"/>
          <w:i/>
          <w:sz w:val="24"/>
          <w:szCs w:val="24"/>
        </w:rPr>
        <w:lastRenderedPageBreak/>
        <w:t>Copies of all office policies, including but not limited to Brady compliance policy, charging and plea deal offer policies, pardons and commutations, etc. Request #3</w:t>
      </w:r>
      <w:r w:rsidR="00914E36">
        <w:rPr>
          <w:rFonts w:eastAsia="Times New Roman"/>
          <w:i/>
          <w:sz w:val="24"/>
          <w:szCs w:val="24"/>
        </w:rPr>
        <w:t xml:space="preserve"> </w:t>
      </w:r>
      <w:r w:rsidR="00914E36">
        <w:rPr>
          <w:rFonts w:eastAsia="Times New Roman"/>
          <w:sz w:val="24"/>
          <w:szCs w:val="24"/>
        </w:rPr>
        <w:t>[sic]</w:t>
      </w:r>
      <w:r>
        <w:rPr>
          <w:rFonts w:eastAsia="Times New Roman"/>
          <w:i/>
          <w:sz w:val="24"/>
          <w:szCs w:val="24"/>
        </w:rPr>
        <w:t xml:space="preserve"> is not limited to calendar year 2017 and 2018.</w:t>
      </w:r>
    </w:p>
    <w:p w14:paraId="383FBB07" w14:textId="77777777" w:rsidR="00423478" w:rsidRDefault="00441D02" w:rsidP="00423478">
      <w:pPr>
        <w:spacing w:before="240" w:line="276" w:lineRule="auto"/>
        <w:ind w:firstLine="720"/>
        <w:rPr>
          <w:rFonts w:eastAsia="Times New Roman"/>
          <w:sz w:val="24"/>
          <w:szCs w:val="24"/>
        </w:rPr>
      </w:pPr>
      <w:r w:rsidRPr="00441D02">
        <w:rPr>
          <w:rFonts w:eastAsia="Times New Roman"/>
          <w:sz w:val="24"/>
          <w:szCs w:val="24"/>
          <w:u w:val="single"/>
        </w:rPr>
        <w:t>District Attorney Response</w:t>
      </w:r>
    </w:p>
    <w:p w14:paraId="2BABDDDD" w14:textId="180723DD" w:rsidR="00C34B11" w:rsidRDefault="00246541" w:rsidP="00C7704B">
      <w:pPr>
        <w:spacing w:before="240" w:line="276" w:lineRule="auto"/>
        <w:ind w:firstLine="720"/>
        <w:rPr>
          <w:rFonts w:eastAsia="Times New Roman"/>
          <w:sz w:val="24"/>
          <w:szCs w:val="24"/>
        </w:rPr>
      </w:pPr>
      <w:r>
        <w:rPr>
          <w:rFonts w:eastAsia="Times New Roman"/>
          <w:sz w:val="24"/>
          <w:szCs w:val="24"/>
        </w:rPr>
        <w:t>The LADA provided s</w:t>
      </w:r>
      <w:r w:rsidR="0052326B" w:rsidRPr="0052326B">
        <w:rPr>
          <w:rFonts w:eastAsia="Times New Roman"/>
          <w:sz w:val="24"/>
          <w:szCs w:val="24"/>
        </w:rPr>
        <w:t xml:space="preserve">everal chapters of </w:t>
      </w:r>
      <w:r>
        <w:rPr>
          <w:rFonts w:eastAsia="Times New Roman"/>
          <w:sz w:val="24"/>
          <w:szCs w:val="24"/>
        </w:rPr>
        <w:t xml:space="preserve">the office’s Legal Policy Manual. Generally, Chapter 2 deals with office policies on </w:t>
      </w:r>
      <w:r w:rsidR="00306B87">
        <w:rPr>
          <w:rFonts w:eastAsia="Times New Roman"/>
          <w:sz w:val="24"/>
          <w:szCs w:val="24"/>
        </w:rPr>
        <w:t>c</w:t>
      </w:r>
      <w:r w:rsidR="00F70984">
        <w:rPr>
          <w:rFonts w:eastAsia="Times New Roman"/>
          <w:sz w:val="24"/>
          <w:szCs w:val="24"/>
        </w:rPr>
        <w:t xml:space="preserve">riteria for </w:t>
      </w:r>
      <w:r w:rsidR="00140807">
        <w:rPr>
          <w:rFonts w:eastAsia="Times New Roman"/>
          <w:sz w:val="24"/>
          <w:szCs w:val="24"/>
        </w:rPr>
        <w:t xml:space="preserve">investigations, evidence, and </w:t>
      </w:r>
      <w:r>
        <w:rPr>
          <w:rFonts w:eastAsia="Times New Roman"/>
          <w:sz w:val="24"/>
          <w:szCs w:val="24"/>
        </w:rPr>
        <w:t>felon</w:t>
      </w:r>
      <w:r w:rsidR="00255173">
        <w:rPr>
          <w:rFonts w:eastAsia="Times New Roman"/>
          <w:sz w:val="24"/>
          <w:szCs w:val="24"/>
        </w:rPr>
        <w:t>y</w:t>
      </w:r>
      <w:r>
        <w:rPr>
          <w:rFonts w:eastAsia="Times New Roman"/>
          <w:sz w:val="24"/>
          <w:szCs w:val="24"/>
        </w:rPr>
        <w:t xml:space="preserve"> and misdemeanor</w:t>
      </w:r>
      <w:r w:rsidR="00255173">
        <w:rPr>
          <w:rFonts w:eastAsia="Times New Roman"/>
          <w:sz w:val="24"/>
          <w:szCs w:val="24"/>
        </w:rPr>
        <w:t xml:space="preserve"> charging decisions</w:t>
      </w:r>
      <w:r>
        <w:rPr>
          <w:rFonts w:eastAsia="Times New Roman"/>
          <w:sz w:val="24"/>
          <w:szCs w:val="24"/>
        </w:rPr>
        <w:t xml:space="preserve">. Chapter 5 details the office’s decline-to-charge policies. Chapter 10 covers misdemeanor case settlement policy, which includes plea bargaining and consideration of adverse immigration consequences, among other topics. Chapter 12 describes the office’s felony case settlement policy, which also includes guidelines on plea bargaining, enhancement decisions, three strikes cases, sentencing, consideration of adverse immigration consequences, </w:t>
      </w:r>
      <w:r w:rsidR="00C7704B">
        <w:rPr>
          <w:rFonts w:eastAsia="Times New Roman"/>
          <w:sz w:val="24"/>
          <w:szCs w:val="24"/>
        </w:rPr>
        <w:t xml:space="preserve">and asset forfeiture cases, among other topics. Chapter 14 explains the </w:t>
      </w:r>
      <w:r w:rsidR="00C7704B">
        <w:rPr>
          <w:rFonts w:eastAsia="Times New Roman"/>
          <w:i/>
          <w:sz w:val="24"/>
          <w:szCs w:val="24"/>
        </w:rPr>
        <w:t>Brady</w:t>
      </w:r>
      <w:r w:rsidR="00C7704B">
        <w:rPr>
          <w:rFonts w:eastAsia="Times New Roman"/>
          <w:sz w:val="24"/>
          <w:szCs w:val="24"/>
        </w:rPr>
        <w:t xml:space="preserve"> policies related to disclosure of exculpatory and impeachment information. According to the LADA’s response letter, the office does not have policies on pardons or commutations.</w:t>
      </w:r>
    </w:p>
    <w:p w14:paraId="67808A2A" w14:textId="19556627" w:rsidR="00C34B11" w:rsidRDefault="00F07675" w:rsidP="00423478">
      <w:pPr>
        <w:spacing w:before="240" w:line="276" w:lineRule="auto"/>
        <w:ind w:firstLine="720"/>
        <w:rPr>
          <w:rFonts w:eastAsia="Times New Roman"/>
          <w:sz w:val="24"/>
          <w:szCs w:val="24"/>
        </w:rPr>
      </w:pPr>
      <w:r>
        <w:rPr>
          <w:rFonts w:eastAsia="Times New Roman"/>
          <w:sz w:val="24"/>
          <w:szCs w:val="24"/>
        </w:rPr>
        <w:t>LADA policy prohibits deputies from using</w:t>
      </w:r>
      <w:r w:rsidR="00F70984">
        <w:rPr>
          <w:rFonts w:eastAsia="Times New Roman"/>
          <w:sz w:val="24"/>
          <w:szCs w:val="24"/>
        </w:rPr>
        <w:t xml:space="preserve"> the charging process to obtain leverage to induce a guilty plea to a lesser charge.</w:t>
      </w:r>
      <w:r w:rsidR="00F70984">
        <w:rPr>
          <w:rStyle w:val="FootnoteReference"/>
          <w:rFonts w:eastAsia="Times New Roman"/>
          <w:sz w:val="24"/>
          <w:szCs w:val="24"/>
        </w:rPr>
        <w:footnoteReference w:id="9"/>
      </w:r>
      <w:r w:rsidR="00F70984">
        <w:rPr>
          <w:rFonts w:eastAsia="Times New Roman"/>
          <w:sz w:val="24"/>
          <w:szCs w:val="24"/>
        </w:rPr>
        <w:t xml:space="preserve"> Where a deputy can charge a crime as a felony or a misdemeanor (i.e., a wobbler), the LADA’s default policy is to charge the case as a felony unless the circumstances warrant a misdemeanor.</w:t>
      </w:r>
      <w:r w:rsidR="00F70984">
        <w:rPr>
          <w:rStyle w:val="FootnoteReference"/>
          <w:rFonts w:eastAsia="Times New Roman"/>
          <w:sz w:val="24"/>
          <w:szCs w:val="24"/>
        </w:rPr>
        <w:footnoteReference w:id="10"/>
      </w:r>
      <w:r w:rsidR="00F70984">
        <w:rPr>
          <w:rFonts w:eastAsia="Times New Roman"/>
          <w:sz w:val="24"/>
          <w:szCs w:val="24"/>
        </w:rPr>
        <w:t xml:space="preserve"> The LADA’s explanation for this policy is that</w:t>
      </w:r>
      <w:r w:rsidR="00A34306">
        <w:rPr>
          <w:rFonts w:eastAsia="Times New Roman"/>
          <w:sz w:val="24"/>
          <w:szCs w:val="24"/>
        </w:rPr>
        <w:t xml:space="preserve"> some cases cannot be easily categorized as either a felony or misdemeanor. To determine how a deputy should charge a wobbler, the deputy must consider a list of factors, including prior record, severity of the crime (e.g., use of deadly weapon, severity of injury, or status of the victim), probability of continued criminal conduct. To ascertain the probability of continued criminal conduct, the deputy must consider whether the defendant is professional criminal or connected to gang activities or organized crime. Factors that deputies are prohibited from considering include (1) the attitude of the victim, witnesses, or law enforcement toward the de</w:t>
      </w:r>
      <w:r w:rsidR="00781720">
        <w:rPr>
          <w:rFonts w:eastAsia="Times New Roman"/>
          <w:sz w:val="24"/>
          <w:szCs w:val="24"/>
        </w:rPr>
        <w:t>cision, and (2) the accused’s family, economic, immigration, or professional status. It is important to note that each of these factors can implicitly biased the outcome based on race, ethnicity, and socio-economic status. For example, because of practices of racial profiling, low-income Black men will tend to have prior records and be assumed to have higher probability of continued criminal conduct. Based on these factors, the LADA’s office is likely systematically biasing wobbler decisions to be more punitive for non-white people accused of crimes.</w:t>
      </w:r>
      <w:r w:rsidR="007164EC">
        <w:rPr>
          <w:rStyle w:val="FootnoteReference"/>
          <w:rFonts w:eastAsia="Times New Roman"/>
          <w:sz w:val="24"/>
          <w:szCs w:val="24"/>
        </w:rPr>
        <w:footnoteReference w:id="11"/>
      </w:r>
    </w:p>
    <w:p w14:paraId="7C3CB61D" w14:textId="2B6891C5" w:rsidR="00F07675" w:rsidRPr="00DF47CE" w:rsidRDefault="00F07675" w:rsidP="00423478">
      <w:pPr>
        <w:spacing w:before="240" w:line="276" w:lineRule="auto"/>
        <w:ind w:firstLine="720"/>
        <w:rPr>
          <w:rFonts w:eastAsia="Times New Roman"/>
          <w:sz w:val="24"/>
          <w:szCs w:val="24"/>
        </w:rPr>
      </w:pPr>
      <w:r>
        <w:rPr>
          <w:rFonts w:eastAsia="Times New Roman"/>
          <w:sz w:val="24"/>
          <w:szCs w:val="24"/>
        </w:rPr>
        <w:t>The LADA’s policies for charging co-defendants and special allegations (i.e. enhancements) lean punitive by default.</w:t>
      </w:r>
      <w:r>
        <w:rPr>
          <w:rStyle w:val="FootnoteReference"/>
          <w:rFonts w:eastAsia="Times New Roman"/>
          <w:sz w:val="24"/>
          <w:szCs w:val="24"/>
        </w:rPr>
        <w:footnoteReference w:id="12"/>
      </w:r>
      <w:r w:rsidR="00DF47CE">
        <w:rPr>
          <w:rFonts w:eastAsia="Times New Roman"/>
          <w:sz w:val="24"/>
          <w:szCs w:val="24"/>
        </w:rPr>
        <w:t xml:space="preserve"> The policy states, “[w]hen multiple defendants can be </w:t>
      </w:r>
      <w:r w:rsidR="00DF47CE">
        <w:rPr>
          <w:rFonts w:eastAsia="Times New Roman"/>
          <w:sz w:val="24"/>
          <w:szCs w:val="24"/>
        </w:rPr>
        <w:lastRenderedPageBreak/>
        <w:t xml:space="preserve">charged with a felony, and at least one appears to deserve a felony sentence for the crime(s), </w:t>
      </w:r>
      <w:r w:rsidR="00DF47CE">
        <w:rPr>
          <w:rFonts w:eastAsia="Times New Roman"/>
          <w:i/>
          <w:sz w:val="24"/>
          <w:szCs w:val="24"/>
        </w:rPr>
        <w:t>all should be charged initially with a felony</w:t>
      </w:r>
      <w:r w:rsidR="00DF47CE">
        <w:rPr>
          <w:rFonts w:eastAsia="Times New Roman"/>
          <w:sz w:val="24"/>
          <w:szCs w:val="24"/>
        </w:rPr>
        <w:t>.”</w:t>
      </w:r>
      <w:r w:rsidR="00DF47CE">
        <w:rPr>
          <w:rStyle w:val="FootnoteReference"/>
          <w:rFonts w:eastAsia="Times New Roman"/>
          <w:sz w:val="24"/>
          <w:szCs w:val="24"/>
        </w:rPr>
        <w:footnoteReference w:id="13"/>
      </w:r>
      <w:r w:rsidR="00DF47CE">
        <w:rPr>
          <w:rFonts w:eastAsia="Times New Roman"/>
          <w:sz w:val="24"/>
          <w:szCs w:val="24"/>
        </w:rPr>
        <w:t xml:space="preserve"> The reason given for this policy is judicial economy of joining defendants. So </w:t>
      </w:r>
      <w:r w:rsidR="00DF4FD1">
        <w:rPr>
          <w:rFonts w:eastAsia="Times New Roman"/>
          <w:sz w:val="24"/>
          <w:szCs w:val="24"/>
        </w:rPr>
        <w:t xml:space="preserve">even if the co-defendant(s) do </w:t>
      </w:r>
      <w:r w:rsidR="00DF4FD1" w:rsidRPr="00DF4FD1">
        <w:rPr>
          <w:rFonts w:eastAsia="Times New Roman"/>
          <w:i/>
          <w:sz w:val="24"/>
          <w:szCs w:val="24"/>
        </w:rPr>
        <w:t>not</w:t>
      </w:r>
      <w:r w:rsidR="00DF4FD1">
        <w:rPr>
          <w:rFonts w:eastAsia="Times New Roman"/>
          <w:sz w:val="24"/>
          <w:szCs w:val="24"/>
        </w:rPr>
        <w:t xml:space="preserve"> deserve a felony sentence—for example, they had a much more minor role than the principal—they receive the same level of punishment. Moreover,</w:t>
      </w:r>
      <w:r w:rsidR="00886A5C">
        <w:rPr>
          <w:rFonts w:eastAsia="Times New Roman"/>
          <w:sz w:val="24"/>
          <w:szCs w:val="24"/>
        </w:rPr>
        <w:t xml:space="preserve"> the LADA requires deputies to “charge all applicable special allegations that </w:t>
      </w:r>
      <w:r w:rsidR="00886A5C" w:rsidRPr="00406C55">
        <w:rPr>
          <w:rFonts w:eastAsia="Times New Roman"/>
          <w:sz w:val="24"/>
          <w:szCs w:val="24"/>
        </w:rPr>
        <w:t>enhance the penalty</w:t>
      </w:r>
      <w:r w:rsidR="00886A5C">
        <w:rPr>
          <w:rFonts w:eastAsia="Times New Roman"/>
          <w:sz w:val="24"/>
          <w:szCs w:val="24"/>
        </w:rPr>
        <w:t xml:space="preserve"> or result in the mandatory denial of probation.”</w:t>
      </w:r>
      <w:r w:rsidR="00886A5C">
        <w:rPr>
          <w:rStyle w:val="FootnoteReference"/>
          <w:rFonts w:eastAsia="Times New Roman"/>
          <w:sz w:val="24"/>
          <w:szCs w:val="24"/>
        </w:rPr>
        <w:footnoteReference w:id="14"/>
      </w:r>
      <w:r w:rsidR="00406C55">
        <w:rPr>
          <w:rFonts w:eastAsia="Times New Roman"/>
          <w:sz w:val="24"/>
          <w:szCs w:val="24"/>
        </w:rPr>
        <w:t xml:space="preserve"> </w:t>
      </w:r>
      <w:r w:rsidR="00B03F0E">
        <w:rPr>
          <w:rFonts w:eastAsia="Times New Roman"/>
          <w:sz w:val="24"/>
          <w:szCs w:val="24"/>
        </w:rPr>
        <w:t>The LADA claims this policy does not prejudice the accused.</w:t>
      </w:r>
      <w:r w:rsidR="00B03F0E">
        <w:rPr>
          <w:rStyle w:val="FootnoteReference"/>
          <w:rFonts w:eastAsia="Times New Roman"/>
          <w:sz w:val="24"/>
          <w:szCs w:val="24"/>
        </w:rPr>
        <w:footnoteReference w:id="15"/>
      </w:r>
      <w:r w:rsidR="00B03F0E">
        <w:rPr>
          <w:rFonts w:eastAsia="Times New Roman"/>
          <w:sz w:val="24"/>
          <w:szCs w:val="24"/>
        </w:rPr>
        <w:t xml:space="preserve"> Instead, it allows deputies to have choice among a range of potential penalties</w:t>
      </w:r>
      <w:r w:rsidR="005D1CFF">
        <w:rPr>
          <w:rFonts w:eastAsia="Times New Roman"/>
          <w:sz w:val="24"/>
          <w:szCs w:val="24"/>
        </w:rPr>
        <w:t xml:space="preserve"> that should be deferred to the sentencing stage. While the deputies are told “[c]are in charging is necessary to prevent the prosecution of innocent individuals,” they actively implement a policy that encourages seeking the most punitive charges by default.</w:t>
      </w:r>
      <w:r w:rsidR="00740114">
        <w:rPr>
          <w:rStyle w:val="FootnoteReference"/>
          <w:rFonts w:eastAsia="Times New Roman"/>
          <w:sz w:val="24"/>
          <w:szCs w:val="24"/>
        </w:rPr>
        <w:footnoteReference w:id="16"/>
      </w:r>
      <w:r w:rsidR="005D1CFF">
        <w:rPr>
          <w:rFonts w:eastAsia="Times New Roman"/>
          <w:sz w:val="24"/>
          <w:szCs w:val="24"/>
        </w:rPr>
        <w:t xml:space="preserve"> </w:t>
      </w:r>
      <w:r w:rsidR="00C54064">
        <w:rPr>
          <w:rFonts w:eastAsia="Times New Roman"/>
          <w:sz w:val="24"/>
          <w:szCs w:val="24"/>
        </w:rPr>
        <w:t>The mere existence of probable cause to support an enhancement does not mean the deputy should charge that enhancement with no other considerations. Again, this will tend to create, intentionally or not, more leverage for the prosecution to extract a plea, when the defendant feels that the potential sentence is so extreme that many will accept a plea even while maintaining their actual innocence. This directly contravenes the LADA’s mission to promote justice.</w:t>
      </w:r>
    </w:p>
    <w:p w14:paraId="2C60A194" w14:textId="5215958E" w:rsidR="00781720" w:rsidRDefault="005D1CFF" w:rsidP="00423478">
      <w:pPr>
        <w:spacing w:before="240" w:line="276" w:lineRule="auto"/>
        <w:ind w:firstLine="720"/>
        <w:rPr>
          <w:rFonts w:eastAsia="Times New Roman"/>
          <w:sz w:val="24"/>
          <w:szCs w:val="24"/>
        </w:rPr>
      </w:pPr>
      <w:r>
        <w:rPr>
          <w:rFonts w:eastAsia="Times New Roman"/>
          <w:sz w:val="24"/>
          <w:szCs w:val="24"/>
        </w:rPr>
        <w:t xml:space="preserve">Nothing requires the LADA have more punitive policies. </w:t>
      </w:r>
      <w:r w:rsidR="006549A2">
        <w:rPr>
          <w:rFonts w:eastAsia="Times New Roman"/>
          <w:sz w:val="24"/>
          <w:szCs w:val="24"/>
        </w:rPr>
        <w:t>D</w:t>
      </w:r>
      <w:r w:rsidR="00531EA0">
        <w:rPr>
          <w:rFonts w:eastAsia="Times New Roman"/>
          <w:sz w:val="24"/>
          <w:szCs w:val="24"/>
        </w:rPr>
        <w:t>eputies have wide latitude to decline to charge.</w:t>
      </w:r>
      <w:r w:rsidR="00C35F9E">
        <w:rPr>
          <w:rStyle w:val="FootnoteReference"/>
          <w:rFonts w:eastAsia="Times New Roman"/>
          <w:sz w:val="24"/>
          <w:szCs w:val="24"/>
        </w:rPr>
        <w:footnoteReference w:id="17"/>
      </w:r>
      <w:r w:rsidR="00C35F9E">
        <w:rPr>
          <w:rFonts w:eastAsia="Times New Roman"/>
          <w:sz w:val="24"/>
          <w:szCs w:val="24"/>
        </w:rPr>
        <w:t xml:space="preserve"> </w:t>
      </w:r>
      <w:r w:rsidR="0010540D">
        <w:rPr>
          <w:rFonts w:eastAsia="Times New Roman"/>
          <w:sz w:val="24"/>
          <w:szCs w:val="24"/>
        </w:rPr>
        <w:t>The LADA</w:t>
      </w:r>
      <w:r w:rsidR="007B2BE2">
        <w:rPr>
          <w:rFonts w:eastAsia="Times New Roman"/>
          <w:sz w:val="24"/>
          <w:szCs w:val="24"/>
        </w:rPr>
        <w:t>’s policy states the</w:t>
      </w:r>
      <w:r w:rsidR="0010540D">
        <w:rPr>
          <w:rFonts w:eastAsia="Times New Roman"/>
          <w:sz w:val="24"/>
          <w:szCs w:val="24"/>
        </w:rPr>
        <w:t xml:space="preserve"> proper bases for declining to charge include budgetary limitations, legislative intent, antiquated statute, victims request, probation violation, or pending prosecution of other charges. Improper bases for declining to charge include restitution to victim (buying </w:t>
      </w:r>
      <w:r w:rsidR="007B2BE2">
        <w:rPr>
          <w:rFonts w:eastAsia="Times New Roman"/>
          <w:sz w:val="24"/>
          <w:szCs w:val="24"/>
        </w:rPr>
        <w:t xml:space="preserve">one’s </w:t>
      </w:r>
      <w:r w:rsidR="0010540D">
        <w:rPr>
          <w:rFonts w:eastAsia="Times New Roman"/>
          <w:sz w:val="24"/>
          <w:szCs w:val="24"/>
        </w:rPr>
        <w:t xml:space="preserve">way out of </w:t>
      </w:r>
      <w:r w:rsidR="007B2BE2">
        <w:rPr>
          <w:rFonts w:eastAsia="Times New Roman"/>
          <w:sz w:val="24"/>
          <w:szCs w:val="24"/>
        </w:rPr>
        <w:t xml:space="preserve">a </w:t>
      </w:r>
      <w:r w:rsidR="0010540D">
        <w:rPr>
          <w:rFonts w:eastAsia="Times New Roman"/>
          <w:sz w:val="24"/>
          <w:szCs w:val="24"/>
        </w:rPr>
        <w:t>c</w:t>
      </w:r>
      <w:r w:rsidR="007B2BE2">
        <w:rPr>
          <w:rFonts w:eastAsia="Times New Roman"/>
          <w:sz w:val="24"/>
          <w:szCs w:val="24"/>
        </w:rPr>
        <w:t>harge</w:t>
      </w:r>
      <w:r w:rsidR="0010540D">
        <w:rPr>
          <w:rFonts w:eastAsia="Times New Roman"/>
          <w:sz w:val="24"/>
          <w:szCs w:val="24"/>
        </w:rPr>
        <w:t xml:space="preserve">), extradition cases, relationship between accused and victim, unpopular statute, victim’s lack of cooperation, </w:t>
      </w:r>
      <w:r w:rsidR="007B2BE2">
        <w:rPr>
          <w:rFonts w:eastAsia="Times New Roman"/>
          <w:sz w:val="24"/>
          <w:szCs w:val="24"/>
        </w:rPr>
        <w:t xml:space="preserve">and </w:t>
      </w:r>
      <w:r w:rsidR="0010540D">
        <w:rPr>
          <w:rFonts w:eastAsia="Times New Roman"/>
          <w:sz w:val="24"/>
          <w:szCs w:val="24"/>
        </w:rPr>
        <w:t xml:space="preserve">impact on accused’s family, among other reasons. </w:t>
      </w:r>
    </w:p>
    <w:p w14:paraId="3D0B28A2" w14:textId="79FA4FCD" w:rsidR="0010540D" w:rsidRDefault="0010540D" w:rsidP="00423478">
      <w:pPr>
        <w:spacing w:before="240" w:line="276" w:lineRule="auto"/>
        <w:ind w:firstLine="720"/>
        <w:rPr>
          <w:rFonts w:eastAsia="Times New Roman"/>
          <w:sz w:val="24"/>
          <w:szCs w:val="24"/>
        </w:rPr>
      </w:pPr>
      <w:r>
        <w:rPr>
          <w:rFonts w:eastAsia="Times New Roman"/>
          <w:sz w:val="24"/>
          <w:szCs w:val="24"/>
        </w:rPr>
        <w:t>When deputies decline to charge, a Charge Evaluation Worksheet must be completed in PIMS for all felony and misdemeanor cases</w:t>
      </w:r>
      <w:r w:rsidR="00CF58E2">
        <w:rPr>
          <w:rFonts w:eastAsia="Times New Roman"/>
          <w:sz w:val="24"/>
          <w:szCs w:val="24"/>
        </w:rPr>
        <w:t>.</w:t>
      </w:r>
      <w:r>
        <w:rPr>
          <w:rFonts w:eastAsia="Times New Roman"/>
          <w:sz w:val="24"/>
          <w:szCs w:val="24"/>
        </w:rPr>
        <w:t xml:space="preserve"> The Worksheet must include </w:t>
      </w:r>
      <w:r w:rsidR="00CF58E2">
        <w:rPr>
          <w:rFonts w:eastAsia="Times New Roman"/>
          <w:sz w:val="24"/>
          <w:szCs w:val="24"/>
        </w:rPr>
        <w:t xml:space="preserve">the </w:t>
      </w:r>
      <w:r>
        <w:rPr>
          <w:rFonts w:eastAsia="Times New Roman"/>
          <w:sz w:val="24"/>
          <w:szCs w:val="24"/>
        </w:rPr>
        <w:t xml:space="preserve">name of </w:t>
      </w:r>
      <w:r w:rsidR="00CF58E2">
        <w:rPr>
          <w:rFonts w:eastAsia="Times New Roman"/>
          <w:sz w:val="24"/>
          <w:szCs w:val="24"/>
        </w:rPr>
        <w:t xml:space="preserve">the </w:t>
      </w:r>
      <w:r>
        <w:rPr>
          <w:rFonts w:eastAsia="Times New Roman"/>
          <w:sz w:val="24"/>
          <w:szCs w:val="24"/>
        </w:rPr>
        <w:t xml:space="preserve">victim, the charges, name of </w:t>
      </w:r>
      <w:r w:rsidR="00CF58E2">
        <w:rPr>
          <w:rFonts w:eastAsia="Times New Roman"/>
          <w:sz w:val="24"/>
          <w:szCs w:val="24"/>
        </w:rPr>
        <w:t>the investigating/</w:t>
      </w:r>
      <w:r>
        <w:rPr>
          <w:rFonts w:eastAsia="Times New Roman"/>
          <w:sz w:val="24"/>
          <w:szCs w:val="24"/>
        </w:rPr>
        <w:t>filing officer, and reasons for the declination.</w:t>
      </w:r>
      <w:r w:rsidR="00CF58E2">
        <w:rPr>
          <w:rStyle w:val="FootnoteReference"/>
          <w:rFonts w:eastAsia="Times New Roman"/>
          <w:sz w:val="24"/>
          <w:szCs w:val="24"/>
        </w:rPr>
        <w:footnoteReference w:id="18"/>
      </w:r>
      <w:r w:rsidR="00CF58E2">
        <w:rPr>
          <w:rFonts w:eastAsia="Times New Roman"/>
          <w:sz w:val="24"/>
          <w:szCs w:val="24"/>
        </w:rPr>
        <w:t xml:space="preserve"> </w:t>
      </w:r>
      <w:r w:rsidR="0062623C">
        <w:rPr>
          <w:rFonts w:eastAsia="Times New Roman"/>
          <w:sz w:val="24"/>
          <w:szCs w:val="24"/>
        </w:rPr>
        <w:t xml:space="preserve">One listed reason for declining to charge is </w:t>
      </w:r>
      <w:r w:rsidR="007B2BE2">
        <w:rPr>
          <w:rFonts w:eastAsia="Times New Roman"/>
          <w:sz w:val="24"/>
          <w:szCs w:val="24"/>
        </w:rPr>
        <w:t xml:space="preserve">in the </w:t>
      </w:r>
      <w:r w:rsidR="0062623C">
        <w:rPr>
          <w:rFonts w:eastAsia="Times New Roman"/>
          <w:sz w:val="24"/>
          <w:szCs w:val="24"/>
        </w:rPr>
        <w:t>“Interest of Justice.” This general declination</w:t>
      </w:r>
      <w:r w:rsidR="007B2BE2">
        <w:rPr>
          <w:rFonts w:eastAsia="Times New Roman"/>
          <w:sz w:val="24"/>
          <w:szCs w:val="24"/>
        </w:rPr>
        <w:t xml:space="preserve">-to-charge </w:t>
      </w:r>
      <w:r w:rsidR="0062623C">
        <w:rPr>
          <w:rFonts w:eastAsia="Times New Roman"/>
          <w:sz w:val="24"/>
          <w:szCs w:val="24"/>
        </w:rPr>
        <w:t xml:space="preserve">reason supports each deputy’s duty under Penal Code </w:t>
      </w:r>
      <w:r w:rsidR="00242CB1">
        <w:rPr>
          <w:rFonts w:eastAsia="Times New Roman"/>
          <w:sz w:val="24"/>
          <w:szCs w:val="24"/>
        </w:rPr>
        <w:t>Section</w:t>
      </w:r>
      <w:r w:rsidR="0062623C">
        <w:rPr>
          <w:rFonts w:eastAsia="Times New Roman"/>
          <w:sz w:val="24"/>
          <w:szCs w:val="24"/>
        </w:rPr>
        <w:t xml:space="preserve"> 4 “to promote justice.” </w:t>
      </w:r>
      <w:r w:rsidR="00CF58E2">
        <w:rPr>
          <w:rFonts w:eastAsia="Times New Roman"/>
          <w:sz w:val="24"/>
          <w:szCs w:val="24"/>
        </w:rPr>
        <w:t>The investigating/filing officer can appeal a decline</w:t>
      </w:r>
      <w:r w:rsidR="007B2BE2">
        <w:rPr>
          <w:rFonts w:eastAsia="Times New Roman"/>
          <w:sz w:val="24"/>
          <w:szCs w:val="24"/>
        </w:rPr>
        <w:t>-</w:t>
      </w:r>
      <w:r w:rsidR="00CF58E2">
        <w:rPr>
          <w:rFonts w:eastAsia="Times New Roman"/>
          <w:sz w:val="24"/>
          <w:szCs w:val="24"/>
        </w:rPr>
        <w:t>to</w:t>
      </w:r>
      <w:r w:rsidR="007B2BE2">
        <w:rPr>
          <w:rFonts w:eastAsia="Times New Roman"/>
          <w:sz w:val="24"/>
          <w:szCs w:val="24"/>
        </w:rPr>
        <w:t>-</w:t>
      </w:r>
      <w:r w:rsidR="00CF58E2">
        <w:rPr>
          <w:rFonts w:eastAsia="Times New Roman"/>
          <w:sz w:val="24"/>
          <w:szCs w:val="24"/>
        </w:rPr>
        <w:t>charge decision.</w:t>
      </w:r>
    </w:p>
    <w:p w14:paraId="2029541C" w14:textId="6A92B747" w:rsidR="00757D72" w:rsidRDefault="00F1335A" w:rsidP="00423478">
      <w:pPr>
        <w:spacing w:before="240" w:line="276" w:lineRule="auto"/>
        <w:ind w:firstLine="720"/>
        <w:rPr>
          <w:rFonts w:eastAsia="Times New Roman"/>
          <w:sz w:val="24"/>
          <w:szCs w:val="24"/>
        </w:rPr>
      </w:pPr>
      <w:r>
        <w:rPr>
          <w:rFonts w:eastAsia="Times New Roman"/>
          <w:sz w:val="24"/>
          <w:szCs w:val="24"/>
        </w:rPr>
        <w:t xml:space="preserve">The LADA’s handling of misdemeanor and felony cases default to incapacitation and punishment. </w:t>
      </w:r>
      <w:r w:rsidR="001549EB">
        <w:rPr>
          <w:rFonts w:eastAsia="Times New Roman"/>
          <w:sz w:val="24"/>
          <w:szCs w:val="24"/>
        </w:rPr>
        <w:t xml:space="preserve">The stated purpose of the LADA’s case misdemeanor settlement policy is to protect </w:t>
      </w:r>
      <w:r w:rsidR="001549EB">
        <w:rPr>
          <w:rFonts w:eastAsia="Times New Roman"/>
          <w:sz w:val="24"/>
          <w:szCs w:val="24"/>
        </w:rPr>
        <w:lastRenderedPageBreak/>
        <w:t>crime victims, protect the community, punish the guilty, and deter crime. When conflicting interpretations of this policy arise, deputies should adopt the interpretation that “favors the victim and public, not the defendant.”</w:t>
      </w:r>
      <w:r w:rsidR="001549EB">
        <w:rPr>
          <w:rStyle w:val="FootnoteReference"/>
          <w:rFonts w:eastAsia="Times New Roman"/>
          <w:sz w:val="24"/>
          <w:szCs w:val="24"/>
        </w:rPr>
        <w:footnoteReference w:id="19"/>
      </w:r>
      <w:r w:rsidR="00923431">
        <w:rPr>
          <w:rFonts w:eastAsia="Times New Roman"/>
          <w:sz w:val="24"/>
          <w:szCs w:val="24"/>
        </w:rPr>
        <w:t xml:space="preserve"> The LADA</w:t>
      </w:r>
      <w:r w:rsidR="00F733DE">
        <w:rPr>
          <w:rFonts w:eastAsia="Times New Roman"/>
          <w:sz w:val="24"/>
          <w:szCs w:val="24"/>
        </w:rPr>
        <w:t xml:space="preserve"> holds the same position under its felony case settlement policy.</w:t>
      </w:r>
      <w:r w:rsidR="00F733DE">
        <w:rPr>
          <w:rStyle w:val="FootnoteReference"/>
          <w:rFonts w:eastAsia="Times New Roman"/>
          <w:sz w:val="24"/>
          <w:szCs w:val="24"/>
        </w:rPr>
        <w:footnoteReference w:id="20"/>
      </w:r>
      <w:r w:rsidR="00F733DE">
        <w:rPr>
          <w:rFonts w:eastAsia="Times New Roman"/>
          <w:sz w:val="24"/>
          <w:szCs w:val="24"/>
        </w:rPr>
        <w:t xml:space="preserve"> </w:t>
      </w:r>
      <w:r>
        <w:rPr>
          <w:rFonts w:eastAsia="Times New Roman"/>
          <w:sz w:val="24"/>
          <w:szCs w:val="24"/>
        </w:rPr>
        <w:t>Moreover, the LADA holds a strong policy that sale and possession for sale cases are not to be reduced, but rather deputies should seek the maximum appropriate sentence.</w:t>
      </w:r>
      <w:r>
        <w:rPr>
          <w:rStyle w:val="FootnoteReference"/>
          <w:rFonts w:eastAsia="Times New Roman"/>
          <w:sz w:val="24"/>
          <w:szCs w:val="24"/>
        </w:rPr>
        <w:footnoteReference w:id="21"/>
      </w:r>
      <w:r>
        <w:rPr>
          <w:rFonts w:eastAsia="Times New Roman"/>
          <w:sz w:val="24"/>
          <w:szCs w:val="24"/>
        </w:rPr>
        <w:t xml:space="preserve"> Under the same punitive framework, defendants in cases involving narcotics sales and possession for sale shall be deemed ineligible for work release. Repeat defendants in narcotics cases shall not be allowed bail either.</w:t>
      </w:r>
    </w:p>
    <w:p w14:paraId="57761917" w14:textId="131BB30D" w:rsidR="00F1335A" w:rsidRDefault="00F1335A" w:rsidP="00423478">
      <w:pPr>
        <w:spacing w:before="240" w:line="276" w:lineRule="auto"/>
        <w:ind w:firstLine="720"/>
        <w:rPr>
          <w:rFonts w:eastAsia="Times New Roman"/>
          <w:sz w:val="24"/>
          <w:szCs w:val="24"/>
        </w:rPr>
      </w:pPr>
      <w:r>
        <w:rPr>
          <w:rFonts w:eastAsia="Times New Roman"/>
          <w:sz w:val="24"/>
          <w:szCs w:val="24"/>
        </w:rPr>
        <w:t>No policy is more punitive than the LADA’s policy on criminal street gangs. To quote the “</w:t>
      </w:r>
      <w:r>
        <w:rPr>
          <w:rFonts w:eastAsia="Times New Roman"/>
          <w:i/>
          <w:sz w:val="24"/>
          <w:szCs w:val="24"/>
        </w:rPr>
        <w:t>Commentary</w:t>
      </w:r>
      <w:r>
        <w:rPr>
          <w:rFonts w:eastAsia="Times New Roman"/>
          <w:sz w:val="24"/>
          <w:szCs w:val="24"/>
        </w:rPr>
        <w:t xml:space="preserve">” section, </w:t>
      </w:r>
    </w:p>
    <w:p w14:paraId="61030F7A" w14:textId="7A9301F6" w:rsidR="00F1335A" w:rsidRDefault="00F1335A" w:rsidP="00F1335A">
      <w:pPr>
        <w:spacing w:before="240" w:line="276" w:lineRule="auto"/>
        <w:ind w:left="720" w:firstLine="720"/>
        <w:rPr>
          <w:rFonts w:eastAsia="Times New Roman"/>
          <w:sz w:val="24"/>
          <w:szCs w:val="24"/>
        </w:rPr>
      </w:pPr>
      <w:r>
        <w:rPr>
          <w:rFonts w:eastAsia="Times New Roman"/>
          <w:sz w:val="24"/>
          <w:szCs w:val="24"/>
        </w:rPr>
        <w:t>“</w:t>
      </w:r>
      <w:r w:rsidRPr="00F1335A">
        <w:rPr>
          <w:rFonts w:eastAsia="Times New Roman"/>
          <w:i/>
          <w:sz w:val="24"/>
          <w:szCs w:val="24"/>
        </w:rPr>
        <w:t xml:space="preserve">Deputies </w:t>
      </w:r>
      <w:r w:rsidR="007B2BE2">
        <w:rPr>
          <w:rFonts w:eastAsia="Times New Roman"/>
          <w:i/>
          <w:sz w:val="24"/>
          <w:szCs w:val="24"/>
        </w:rPr>
        <w:t>s</w:t>
      </w:r>
      <w:r w:rsidRPr="00F1335A">
        <w:rPr>
          <w:rFonts w:eastAsia="Times New Roman"/>
          <w:i/>
          <w:sz w:val="24"/>
          <w:szCs w:val="24"/>
        </w:rPr>
        <w:t>hall aggressively seek harsher sentences for street gang members in every case whether or not the instant offense was gang related. The objective is to use every opportunity to remove gang members from the streets. For crimes for which the usual sentence is a county jail sentence, if the defendant is a gang member, deputies shall seek a state prison commitment.</w:t>
      </w:r>
      <w:r>
        <w:rPr>
          <w:rFonts w:eastAsia="Times New Roman"/>
          <w:sz w:val="24"/>
          <w:szCs w:val="24"/>
        </w:rPr>
        <w:t>”</w:t>
      </w:r>
      <w:r w:rsidR="004F4518">
        <w:rPr>
          <w:rStyle w:val="FootnoteReference"/>
          <w:rFonts w:eastAsia="Times New Roman"/>
          <w:sz w:val="24"/>
          <w:szCs w:val="24"/>
        </w:rPr>
        <w:footnoteReference w:id="22"/>
      </w:r>
    </w:p>
    <w:p w14:paraId="5C5E3684" w14:textId="245BA442" w:rsidR="001E50E4" w:rsidRDefault="00F1335A" w:rsidP="00F1335A">
      <w:pPr>
        <w:spacing w:before="240" w:line="276" w:lineRule="auto"/>
        <w:rPr>
          <w:rFonts w:eastAsia="Times New Roman"/>
          <w:sz w:val="24"/>
          <w:szCs w:val="24"/>
        </w:rPr>
      </w:pPr>
      <w:r>
        <w:rPr>
          <w:rFonts w:eastAsia="Times New Roman"/>
          <w:sz w:val="24"/>
          <w:szCs w:val="24"/>
        </w:rPr>
        <w:t xml:space="preserve">Policies like this </w:t>
      </w:r>
      <w:r w:rsidR="007B2BE2">
        <w:rPr>
          <w:rFonts w:eastAsia="Times New Roman"/>
          <w:sz w:val="24"/>
          <w:szCs w:val="24"/>
        </w:rPr>
        <w:t xml:space="preserve">will </w:t>
      </w:r>
      <w:r>
        <w:rPr>
          <w:rFonts w:eastAsia="Times New Roman"/>
          <w:sz w:val="24"/>
          <w:szCs w:val="24"/>
        </w:rPr>
        <w:t>tend to over</w:t>
      </w:r>
      <w:r w:rsidR="002C4795">
        <w:rPr>
          <w:rFonts w:eastAsia="Times New Roman"/>
          <w:sz w:val="24"/>
          <w:szCs w:val="24"/>
        </w:rPr>
        <w:t>-</w:t>
      </w:r>
      <w:r>
        <w:rPr>
          <w:rFonts w:eastAsia="Times New Roman"/>
          <w:sz w:val="24"/>
          <w:szCs w:val="24"/>
        </w:rPr>
        <w:t xml:space="preserve">incarceration. </w:t>
      </w:r>
      <w:r w:rsidR="002C4795">
        <w:rPr>
          <w:rFonts w:eastAsia="Times New Roman"/>
          <w:sz w:val="24"/>
          <w:szCs w:val="24"/>
        </w:rPr>
        <w:t xml:space="preserve">Indeed, the punishments from gang enhancements are often more severe than the punishments for the underlying felonies. </w:t>
      </w:r>
      <w:r>
        <w:rPr>
          <w:rFonts w:eastAsia="Times New Roman"/>
          <w:sz w:val="24"/>
          <w:szCs w:val="24"/>
        </w:rPr>
        <w:t>Gang member registries are notorious</w:t>
      </w:r>
      <w:r w:rsidR="007B2BE2">
        <w:rPr>
          <w:rFonts w:eastAsia="Times New Roman"/>
          <w:sz w:val="24"/>
          <w:szCs w:val="24"/>
        </w:rPr>
        <w:t>ly</w:t>
      </w:r>
      <w:r>
        <w:rPr>
          <w:rFonts w:eastAsia="Times New Roman"/>
          <w:sz w:val="24"/>
          <w:szCs w:val="24"/>
        </w:rPr>
        <w:t xml:space="preserve"> faulty, </w:t>
      </w:r>
      <w:r w:rsidR="005B16A0">
        <w:rPr>
          <w:rFonts w:eastAsia="Times New Roman"/>
          <w:sz w:val="24"/>
          <w:szCs w:val="24"/>
        </w:rPr>
        <w:t xml:space="preserve">netting unsuspecting community members with little or no </w:t>
      </w:r>
      <w:r w:rsidR="007B2BE2">
        <w:rPr>
          <w:rFonts w:eastAsia="Times New Roman"/>
          <w:sz w:val="24"/>
          <w:szCs w:val="24"/>
        </w:rPr>
        <w:t xml:space="preserve">evidence of </w:t>
      </w:r>
      <w:r w:rsidR="005B16A0">
        <w:rPr>
          <w:rFonts w:eastAsia="Times New Roman"/>
          <w:sz w:val="24"/>
          <w:szCs w:val="24"/>
        </w:rPr>
        <w:t xml:space="preserve">gang affiliation. </w:t>
      </w:r>
      <w:r w:rsidR="002C4795">
        <w:rPr>
          <w:rFonts w:eastAsia="Times New Roman"/>
          <w:sz w:val="24"/>
          <w:szCs w:val="24"/>
        </w:rPr>
        <w:t>The LADA disproportionately</w:t>
      </w:r>
      <w:r w:rsidR="005B16A0">
        <w:rPr>
          <w:rFonts w:eastAsia="Times New Roman"/>
          <w:sz w:val="24"/>
          <w:szCs w:val="24"/>
        </w:rPr>
        <w:t xml:space="preserve"> wield</w:t>
      </w:r>
      <w:r w:rsidR="002C4795">
        <w:rPr>
          <w:rFonts w:eastAsia="Times New Roman"/>
          <w:sz w:val="24"/>
          <w:szCs w:val="24"/>
        </w:rPr>
        <w:t>s this policy</w:t>
      </w:r>
      <w:r w:rsidR="005B16A0">
        <w:rPr>
          <w:rFonts w:eastAsia="Times New Roman"/>
          <w:sz w:val="24"/>
          <w:szCs w:val="24"/>
        </w:rPr>
        <w:t xml:space="preserve"> against young men and boys of color.</w:t>
      </w:r>
    </w:p>
    <w:p w14:paraId="64A5A51C" w14:textId="0A034206" w:rsidR="001E50E4" w:rsidRPr="001E50E4" w:rsidRDefault="001E50E4" w:rsidP="001E50E4">
      <w:pPr>
        <w:spacing w:before="240" w:line="276" w:lineRule="auto"/>
        <w:ind w:firstLine="720"/>
        <w:rPr>
          <w:rFonts w:eastAsia="Times New Roman"/>
          <w:sz w:val="24"/>
          <w:szCs w:val="24"/>
        </w:rPr>
      </w:pPr>
      <w:r>
        <w:rPr>
          <w:rFonts w:eastAsia="Times New Roman"/>
          <w:sz w:val="24"/>
          <w:szCs w:val="24"/>
        </w:rPr>
        <w:t>The LADA</w:t>
      </w:r>
      <w:r w:rsidR="003D31E4">
        <w:rPr>
          <w:rFonts w:eastAsia="Times New Roman"/>
          <w:sz w:val="24"/>
          <w:szCs w:val="24"/>
        </w:rPr>
        <w:t xml:space="preserve"> also holds broad guidelines for complying with </w:t>
      </w:r>
      <w:r w:rsidR="003D31E4">
        <w:rPr>
          <w:rFonts w:eastAsia="Times New Roman"/>
          <w:i/>
          <w:sz w:val="24"/>
          <w:szCs w:val="24"/>
        </w:rPr>
        <w:t>Brady</w:t>
      </w:r>
      <w:r w:rsidR="003D31E4">
        <w:rPr>
          <w:rFonts w:eastAsia="Times New Roman"/>
          <w:sz w:val="24"/>
          <w:szCs w:val="24"/>
        </w:rPr>
        <w:t xml:space="preserve"> disclosure requirements</w:t>
      </w:r>
      <w:r>
        <w:rPr>
          <w:rFonts w:eastAsia="Times New Roman"/>
          <w:sz w:val="24"/>
          <w:szCs w:val="24"/>
        </w:rPr>
        <w:t>.</w:t>
      </w:r>
      <w:r>
        <w:rPr>
          <w:rStyle w:val="FootnoteReference"/>
          <w:rFonts w:eastAsia="Times New Roman"/>
          <w:sz w:val="24"/>
          <w:szCs w:val="24"/>
        </w:rPr>
        <w:footnoteReference w:id="23"/>
      </w:r>
      <w:r>
        <w:rPr>
          <w:rFonts w:eastAsia="Times New Roman"/>
          <w:sz w:val="24"/>
          <w:szCs w:val="24"/>
        </w:rPr>
        <w:t xml:space="preserve"> Any doubt as to the disclosure of potentially exculpatory or impeachment information or evidence must be resolved in favor of disclosure. </w:t>
      </w:r>
      <w:r w:rsidR="003D31E4">
        <w:rPr>
          <w:rFonts w:eastAsia="Times New Roman"/>
          <w:sz w:val="24"/>
          <w:szCs w:val="24"/>
        </w:rPr>
        <w:t>Where deputies learn that any enforcement officer’s personnel file contains impeaching information, deputies must inform the defense of that information. The LADA also observes the California court due process requirement to disclose impeaching evidence before a defendant pleads guilty or no contest</w:t>
      </w:r>
      <w:r w:rsidR="00B96F22">
        <w:rPr>
          <w:rFonts w:eastAsia="Times New Roman"/>
          <w:sz w:val="24"/>
          <w:szCs w:val="24"/>
        </w:rPr>
        <w:t>, and in any case as soon the impeaching information becomes known.</w:t>
      </w:r>
    </w:p>
    <w:p w14:paraId="3859E552" w14:textId="77777777" w:rsidR="00423478" w:rsidRDefault="00441D02" w:rsidP="00423478">
      <w:pPr>
        <w:spacing w:before="240" w:line="240" w:lineRule="auto"/>
        <w:ind w:firstLine="720"/>
        <w:rPr>
          <w:rFonts w:eastAsia="Times New Roman"/>
          <w:color w:val="000000"/>
          <w:sz w:val="24"/>
          <w:szCs w:val="24"/>
        </w:rPr>
      </w:pPr>
      <w:r>
        <w:rPr>
          <w:rFonts w:eastAsia="Times New Roman"/>
          <w:color w:val="000000"/>
          <w:sz w:val="24"/>
          <w:szCs w:val="24"/>
          <w:u w:val="single"/>
        </w:rPr>
        <w:t>Recommended Next Steps</w:t>
      </w:r>
    </w:p>
    <w:p w14:paraId="6BBF5886" w14:textId="0260232B" w:rsidR="00423478" w:rsidRDefault="001E50E4" w:rsidP="00423478">
      <w:pPr>
        <w:spacing w:before="240" w:line="276" w:lineRule="auto"/>
        <w:ind w:firstLine="720"/>
        <w:rPr>
          <w:rFonts w:eastAsia="Times New Roman"/>
          <w:sz w:val="24"/>
          <w:szCs w:val="24"/>
        </w:rPr>
      </w:pPr>
      <w:r>
        <w:rPr>
          <w:rFonts w:eastAsia="Times New Roman"/>
          <w:sz w:val="24"/>
          <w:szCs w:val="24"/>
        </w:rPr>
        <w:t xml:space="preserve">While the LADA Office is unusual in that it has significant officewide policy guidelines on a broad range of issues, several of those policies </w:t>
      </w:r>
      <w:r w:rsidR="0028747E">
        <w:rPr>
          <w:rFonts w:eastAsia="Times New Roman"/>
          <w:sz w:val="24"/>
          <w:szCs w:val="24"/>
        </w:rPr>
        <w:t xml:space="preserve">tend to favor punishment over rehabilitation. Moreover, the more punitive posture of many LADA policy positions may contribute to more incarceration, not less, and the burden of these policies is likely disproportionately shifted to </w:t>
      </w:r>
      <w:r w:rsidR="0028747E">
        <w:rPr>
          <w:rFonts w:eastAsia="Times New Roman"/>
          <w:sz w:val="24"/>
          <w:szCs w:val="24"/>
        </w:rPr>
        <w:lastRenderedPageBreak/>
        <w:t xml:space="preserve">Black and brown men and boys. </w:t>
      </w:r>
      <w:r w:rsidR="00255173">
        <w:rPr>
          <w:rFonts w:eastAsia="Times New Roman"/>
          <w:sz w:val="24"/>
          <w:szCs w:val="24"/>
        </w:rPr>
        <w:t>To promote principles of equity, transparency, and accountability in the LADA’s practices, the office should consider the following reforms:</w:t>
      </w:r>
    </w:p>
    <w:p w14:paraId="3D31D31B" w14:textId="77CE5ABE" w:rsidR="00255173" w:rsidRDefault="00140807" w:rsidP="00255173">
      <w:pPr>
        <w:pStyle w:val="ListParagraph"/>
        <w:numPr>
          <w:ilvl w:val="0"/>
          <w:numId w:val="5"/>
        </w:numPr>
        <w:spacing w:before="240" w:line="276" w:lineRule="auto"/>
        <w:rPr>
          <w:rFonts w:eastAsia="Times New Roman"/>
          <w:sz w:val="24"/>
          <w:szCs w:val="24"/>
        </w:rPr>
      </w:pPr>
      <w:r>
        <w:rPr>
          <w:rFonts w:eastAsia="Times New Roman"/>
          <w:sz w:val="24"/>
          <w:szCs w:val="24"/>
        </w:rPr>
        <w:t>Charge wobblers as misdemeanors by default. Develop a new set of factors upon which to determine whether a wobbler should/could be charged as a felony in unusual circumstances. Certain categories of wobbler crimes, including sex crimes involving minors, for example, may be considered under a separate tier of charging standards. The policy should explicitly account for unconscious bias in consideration of any factors for charging or enhancements.</w:t>
      </w:r>
    </w:p>
    <w:p w14:paraId="3CB4FB0B" w14:textId="79BF87FA" w:rsidR="00140807" w:rsidRDefault="00C92EA1" w:rsidP="00255173">
      <w:pPr>
        <w:pStyle w:val="ListParagraph"/>
        <w:numPr>
          <w:ilvl w:val="0"/>
          <w:numId w:val="5"/>
        </w:numPr>
        <w:spacing w:before="240" w:line="276" w:lineRule="auto"/>
        <w:rPr>
          <w:rFonts w:eastAsia="Times New Roman"/>
          <w:sz w:val="24"/>
          <w:szCs w:val="24"/>
        </w:rPr>
      </w:pPr>
      <w:r>
        <w:rPr>
          <w:rFonts w:eastAsia="Times New Roman"/>
          <w:sz w:val="24"/>
          <w:szCs w:val="24"/>
        </w:rPr>
        <w:t>Develop a list of charges the deputies must decline-to-charge, except in unusual circumstances in which case they must obtain permission from the head deputy or deputy-in-charge.</w:t>
      </w:r>
    </w:p>
    <w:p w14:paraId="43D08851" w14:textId="2249A544" w:rsidR="00C92EA1" w:rsidRDefault="00C92EA1" w:rsidP="00255173">
      <w:pPr>
        <w:pStyle w:val="ListParagraph"/>
        <w:numPr>
          <w:ilvl w:val="0"/>
          <w:numId w:val="5"/>
        </w:numPr>
        <w:spacing w:before="240" w:line="276" w:lineRule="auto"/>
        <w:rPr>
          <w:rFonts w:eastAsia="Times New Roman"/>
          <w:sz w:val="24"/>
          <w:szCs w:val="24"/>
        </w:rPr>
      </w:pPr>
      <w:r>
        <w:rPr>
          <w:rFonts w:eastAsia="Times New Roman"/>
          <w:sz w:val="24"/>
          <w:szCs w:val="24"/>
        </w:rPr>
        <w:t>Rather than always resolving doubtful interpretations of office policies against defendants</w:t>
      </w:r>
      <w:r w:rsidR="001720D2">
        <w:rPr>
          <w:rFonts w:eastAsia="Times New Roman"/>
          <w:sz w:val="24"/>
          <w:szCs w:val="24"/>
        </w:rPr>
        <w:t>, which tends to undermine a core principle of innocence until proven guilty, develop a procedurally fair and transparent review of those doubtful interpretations.</w:t>
      </w:r>
    </w:p>
    <w:p w14:paraId="7E55DD31" w14:textId="1F5234A0" w:rsidR="00C36219" w:rsidRDefault="00807038" w:rsidP="00255173">
      <w:pPr>
        <w:pStyle w:val="ListParagraph"/>
        <w:numPr>
          <w:ilvl w:val="0"/>
          <w:numId w:val="5"/>
        </w:numPr>
        <w:spacing w:before="240" w:line="276" w:lineRule="auto"/>
        <w:rPr>
          <w:rFonts w:eastAsia="Times New Roman"/>
          <w:sz w:val="24"/>
          <w:szCs w:val="24"/>
        </w:rPr>
      </w:pPr>
      <w:r>
        <w:rPr>
          <w:rFonts w:eastAsia="Times New Roman"/>
          <w:sz w:val="24"/>
          <w:szCs w:val="24"/>
        </w:rPr>
        <w:t>Rather than always erring on the side of more punitive charging practices in cases with special allegations and multiple defendants, the LADA should adopt higher standards of review for its deputies to meet before seeking the highest felony charges or enhancements.</w:t>
      </w:r>
    </w:p>
    <w:p w14:paraId="3459C186" w14:textId="0C854AC9" w:rsidR="001720D2" w:rsidRPr="00255173" w:rsidRDefault="001720D2" w:rsidP="00255173">
      <w:pPr>
        <w:pStyle w:val="ListParagraph"/>
        <w:numPr>
          <w:ilvl w:val="0"/>
          <w:numId w:val="5"/>
        </w:numPr>
        <w:spacing w:before="240" w:line="276" w:lineRule="auto"/>
        <w:rPr>
          <w:rFonts w:eastAsia="Times New Roman"/>
          <w:sz w:val="24"/>
          <w:szCs w:val="24"/>
        </w:rPr>
      </w:pPr>
      <w:r>
        <w:rPr>
          <w:rFonts w:eastAsia="Times New Roman"/>
          <w:sz w:val="24"/>
          <w:szCs w:val="24"/>
        </w:rPr>
        <w:t>Impose a higher standard of scrutiny of any accused person’s alleged “gang affiliation.” Enhancements do not need to be applied and should not be applied in all cases. The LADA policy must recognize the deficiencies of the gang registry and the negative collateral consequences of its lock-up-first, ask-questions-later policy on alleged gang members.</w:t>
      </w:r>
    </w:p>
    <w:p w14:paraId="26B3EF70" w14:textId="37436810" w:rsidR="00423478" w:rsidRDefault="00423478" w:rsidP="00423478">
      <w:pPr>
        <w:spacing w:before="240"/>
        <w:jc w:val="center"/>
        <w:rPr>
          <w:b/>
          <w:sz w:val="24"/>
          <w:szCs w:val="24"/>
        </w:rPr>
      </w:pPr>
      <w:r>
        <w:rPr>
          <w:b/>
          <w:sz w:val="24"/>
          <w:szCs w:val="24"/>
        </w:rPr>
        <w:t>Request Item #5</w:t>
      </w:r>
      <w:r w:rsidR="001F24C3">
        <w:rPr>
          <w:b/>
          <w:sz w:val="24"/>
          <w:szCs w:val="24"/>
        </w:rPr>
        <w:t xml:space="preserve"> </w:t>
      </w:r>
      <w:r w:rsidR="0050676E">
        <w:rPr>
          <w:b/>
          <w:sz w:val="24"/>
          <w:szCs w:val="24"/>
        </w:rPr>
        <w:t>–</w:t>
      </w:r>
      <w:r w:rsidR="001F24C3">
        <w:rPr>
          <w:b/>
          <w:sz w:val="24"/>
          <w:szCs w:val="24"/>
        </w:rPr>
        <w:t xml:space="preserve"> </w:t>
      </w:r>
      <w:r w:rsidR="0050676E">
        <w:rPr>
          <w:b/>
          <w:sz w:val="24"/>
          <w:szCs w:val="24"/>
        </w:rPr>
        <w:t>Immigration Related Policies</w:t>
      </w:r>
    </w:p>
    <w:p w14:paraId="5FF55EBF" w14:textId="77777777" w:rsidR="00423478" w:rsidRDefault="00441D02" w:rsidP="00423478">
      <w:pPr>
        <w:spacing w:before="240" w:line="276" w:lineRule="auto"/>
        <w:ind w:firstLine="720"/>
        <w:rPr>
          <w:sz w:val="24"/>
          <w:szCs w:val="24"/>
          <w:u w:val="single"/>
        </w:rPr>
      </w:pPr>
      <w:r>
        <w:rPr>
          <w:sz w:val="24"/>
          <w:szCs w:val="24"/>
          <w:u w:val="single"/>
        </w:rPr>
        <w:t>ACLU PRA Request</w:t>
      </w:r>
    </w:p>
    <w:p w14:paraId="6340B507" w14:textId="77777777" w:rsidR="00423478" w:rsidRDefault="00423478" w:rsidP="00423478">
      <w:pPr>
        <w:numPr>
          <w:ilvl w:val="0"/>
          <w:numId w:val="1"/>
        </w:numPr>
        <w:spacing w:after="0" w:line="276" w:lineRule="auto"/>
        <w:rPr>
          <w:rFonts w:eastAsia="Times New Roman"/>
          <w:i/>
          <w:sz w:val="24"/>
          <w:szCs w:val="24"/>
        </w:rPr>
      </w:pPr>
      <w:r>
        <w:rPr>
          <w:rFonts w:eastAsia="Times New Roman"/>
          <w:i/>
          <w:sz w:val="24"/>
          <w:szCs w:val="24"/>
        </w:rPr>
        <w:t>Copies of all office policies that relate to immigration including but not limited to:</w:t>
      </w:r>
    </w:p>
    <w:p w14:paraId="446DC01C" w14:textId="77777777" w:rsidR="00423478" w:rsidRDefault="00423478" w:rsidP="00423478">
      <w:pPr>
        <w:numPr>
          <w:ilvl w:val="1"/>
          <w:numId w:val="1"/>
        </w:numPr>
        <w:spacing w:after="0" w:line="276" w:lineRule="auto"/>
        <w:rPr>
          <w:rFonts w:eastAsia="Times New Roman"/>
          <w:i/>
          <w:sz w:val="24"/>
          <w:szCs w:val="24"/>
        </w:rPr>
      </w:pPr>
      <w:r>
        <w:rPr>
          <w:rFonts w:eastAsia="Times New Roman"/>
          <w:i/>
          <w:sz w:val="24"/>
          <w:szCs w:val="24"/>
        </w:rPr>
        <w:t>Records that refer to office efforts to implement its obligations under Penal Code 1016.3(b).</w:t>
      </w:r>
    </w:p>
    <w:p w14:paraId="416FC199" w14:textId="77777777" w:rsidR="00423478" w:rsidRDefault="00423478" w:rsidP="00423478">
      <w:pPr>
        <w:numPr>
          <w:ilvl w:val="1"/>
          <w:numId w:val="1"/>
        </w:numPr>
        <w:spacing w:after="0" w:line="276" w:lineRule="auto"/>
        <w:rPr>
          <w:rFonts w:eastAsia="Times New Roman"/>
          <w:i/>
          <w:sz w:val="24"/>
          <w:szCs w:val="24"/>
        </w:rPr>
      </w:pPr>
      <w:r>
        <w:rPr>
          <w:rFonts w:eastAsia="Times New Roman"/>
          <w:i/>
          <w:sz w:val="24"/>
          <w:szCs w:val="24"/>
        </w:rPr>
        <w:t>Records that refer to office efforts to implement its obligations under Penal Code 1473.7.</w:t>
      </w:r>
    </w:p>
    <w:p w14:paraId="7762D2BC" w14:textId="5D979590" w:rsidR="00423478" w:rsidRDefault="00423478" w:rsidP="00423478">
      <w:pPr>
        <w:numPr>
          <w:ilvl w:val="1"/>
          <w:numId w:val="1"/>
        </w:numPr>
        <w:spacing w:after="0" w:line="276" w:lineRule="auto"/>
        <w:rPr>
          <w:rFonts w:eastAsia="Times New Roman"/>
          <w:i/>
          <w:sz w:val="24"/>
          <w:szCs w:val="24"/>
        </w:rPr>
      </w:pPr>
      <w:r>
        <w:rPr>
          <w:rFonts w:eastAsia="Times New Roman"/>
          <w:i/>
          <w:sz w:val="24"/>
          <w:szCs w:val="24"/>
        </w:rPr>
        <w:t>Records, memoranda, and emails that relate to the creation and development of an immigration policy for the office.</w:t>
      </w:r>
      <w:r w:rsidR="00CA421D" w:rsidRPr="00CA421D">
        <w:rPr>
          <w:rFonts w:eastAsia="Times New Roman"/>
          <w:sz w:val="24"/>
          <w:szCs w:val="24"/>
          <w:vertAlign w:val="superscript"/>
        </w:rPr>
        <w:t>[</w:t>
      </w:r>
      <w:r w:rsidR="00CA421D" w:rsidRPr="00CA421D">
        <w:rPr>
          <w:rStyle w:val="FootnoteReference"/>
          <w:rFonts w:eastAsia="Times New Roman"/>
          <w:sz w:val="24"/>
          <w:szCs w:val="24"/>
        </w:rPr>
        <w:footnoteReference w:id="24"/>
      </w:r>
      <w:r w:rsidR="00CA421D" w:rsidRPr="00CA421D">
        <w:rPr>
          <w:rFonts w:eastAsia="Times New Roman"/>
          <w:sz w:val="24"/>
          <w:szCs w:val="24"/>
          <w:vertAlign w:val="superscript"/>
        </w:rPr>
        <w:t>]</w:t>
      </w:r>
    </w:p>
    <w:p w14:paraId="253B736E" w14:textId="77777777" w:rsidR="00423478" w:rsidRDefault="00423478" w:rsidP="00423478">
      <w:pPr>
        <w:numPr>
          <w:ilvl w:val="1"/>
          <w:numId w:val="1"/>
        </w:numPr>
        <w:spacing w:after="0" w:line="276" w:lineRule="auto"/>
        <w:rPr>
          <w:rFonts w:eastAsia="Times New Roman"/>
          <w:i/>
          <w:sz w:val="24"/>
          <w:szCs w:val="24"/>
        </w:rPr>
      </w:pPr>
      <w:r>
        <w:rPr>
          <w:rFonts w:eastAsia="Times New Roman"/>
          <w:i/>
          <w:sz w:val="24"/>
          <w:szCs w:val="24"/>
        </w:rPr>
        <w:t xml:space="preserve">Request #5 is not limited to calendar year 2017 and 2018. </w:t>
      </w:r>
    </w:p>
    <w:p w14:paraId="74C8039F" w14:textId="77777777" w:rsidR="00423478" w:rsidRDefault="00441D02" w:rsidP="00423478">
      <w:pPr>
        <w:spacing w:before="240" w:line="276" w:lineRule="auto"/>
        <w:ind w:firstLine="720"/>
        <w:rPr>
          <w:rFonts w:eastAsia="Times New Roman"/>
          <w:sz w:val="24"/>
          <w:szCs w:val="24"/>
        </w:rPr>
      </w:pPr>
      <w:r w:rsidRPr="00441D02">
        <w:rPr>
          <w:rFonts w:eastAsia="Times New Roman"/>
          <w:sz w:val="24"/>
          <w:szCs w:val="24"/>
          <w:u w:val="single"/>
        </w:rPr>
        <w:lastRenderedPageBreak/>
        <w:t>District Attorney Response</w:t>
      </w:r>
    </w:p>
    <w:p w14:paraId="758DFF3D" w14:textId="5F2187A4" w:rsidR="00586CDF" w:rsidRDefault="0052326B" w:rsidP="00586CDF">
      <w:pPr>
        <w:spacing w:before="240" w:line="240" w:lineRule="auto"/>
        <w:ind w:firstLine="720"/>
        <w:rPr>
          <w:rFonts w:eastAsia="Times New Roman"/>
          <w:sz w:val="24"/>
          <w:szCs w:val="24"/>
        </w:rPr>
      </w:pPr>
      <w:r w:rsidRPr="0052326B">
        <w:rPr>
          <w:rFonts w:eastAsia="Times New Roman"/>
          <w:sz w:val="24"/>
          <w:szCs w:val="24"/>
        </w:rPr>
        <w:t>Pen</w:t>
      </w:r>
      <w:r w:rsidR="0033379F">
        <w:rPr>
          <w:rFonts w:eastAsia="Times New Roman"/>
          <w:sz w:val="24"/>
          <w:szCs w:val="24"/>
        </w:rPr>
        <w:t>al</w:t>
      </w:r>
      <w:r w:rsidRPr="0052326B">
        <w:rPr>
          <w:rFonts w:eastAsia="Times New Roman"/>
          <w:sz w:val="24"/>
          <w:szCs w:val="24"/>
        </w:rPr>
        <w:t xml:space="preserve"> Code </w:t>
      </w:r>
      <w:r w:rsidR="0033379F">
        <w:rPr>
          <w:rFonts w:eastAsia="Times New Roman"/>
          <w:sz w:val="24"/>
          <w:szCs w:val="24"/>
        </w:rPr>
        <w:t>S</w:t>
      </w:r>
      <w:r w:rsidRPr="0052326B">
        <w:rPr>
          <w:rFonts w:eastAsia="Times New Roman"/>
          <w:sz w:val="24"/>
          <w:szCs w:val="24"/>
        </w:rPr>
        <w:t xml:space="preserve">ection 1016.3 </w:t>
      </w:r>
      <w:r w:rsidR="0033379F">
        <w:rPr>
          <w:rFonts w:eastAsia="Times New Roman"/>
          <w:sz w:val="24"/>
          <w:szCs w:val="24"/>
        </w:rPr>
        <w:t>requires deputies to consider adverse immigration consequences as one factor in the charging and plea negotiation process.</w:t>
      </w:r>
      <w:r w:rsidRPr="0052326B">
        <w:rPr>
          <w:rFonts w:eastAsia="Times New Roman"/>
          <w:sz w:val="24"/>
          <w:szCs w:val="24"/>
        </w:rPr>
        <w:t xml:space="preserve"> Pen</w:t>
      </w:r>
      <w:r w:rsidR="0033379F">
        <w:rPr>
          <w:rFonts w:eastAsia="Times New Roman"/>
          <w:sz w:val="24"/>
          <w:szCs w:val="24"/>
        </w:rPr>
        <w:t>al</w:t>
      </w:r>
      <w:r w:rsidRPr="0052326B">
        <w:rPr>
          <w:rFonts w:eastAsia="Times New Roman"/>
          <w:sz w:val="24"/>
          <w:szCs w:val="24"/>
        </w:rPr>
        <w:t xml:space="preserve"> Code </w:t>
      </w:r>
      <w:r w:rsidR="0033379F">
        <w:rPr>
          <w:rFonts w:eastAsia="Times New Roman"/>
          <w:sz w:val="24"/>
          <w:szCs w:val="24"/>
        </w:rPr>
        <w:t>S</w:t>
      </w:r>
      <w:r w:rsidRPr="0052326B">
        <w:rPr>
          <w:rFonts w:eastAsia="Times New Roman"/>
          <w:sz w:val="24"/>
          <w:szCs w:val="24"/>
        </w:rPr>
        <w:t>ection 1473.7</w:t>
      </w:r>
      <w:r w:rsidR="0033379F">
        <w:rPr>
          <w:rFonts w:eastAsia="Times New Roman"/>
          <w:sz w:val="24"/>
          <w:szCs w:val="24"/>
        </w:rPr>
        <w:t xml:space="preserve"> allows for a person to move to vacate a conviction or sentence where the movant was unable to meaningfully understand, defend against, or knowingly accept the actual or potential adverse immigration consequences of a guilty plea. The LADA </w:t>
      </w:r>
      <w:r w:rsidR="00211A2B">
        <w:rPr>
          <w:rFonts w:eastAsia="Times New Roman"/>
          <w:sz w:val="24"/>
          <w:szCs w:val="24"/>
        </w:rPr>
        <w:t xml:space="preserve">denied </w:t>
      </w:r>
      <w:r w:rsidR="004977CD">
        <w:rPr>
          <w:rFonts w:eastAsia="Times New Roman"/>
          <w:sz w:val="24"/>
          <w:szCs w:val="24"/>
        </w:rPr>
        <w:t>possessing</w:t>
      </w:r>
      <w:r w:rsidR="0033379F">
        <w:rPr>
          <w:rFonts w:eastAsia="Times New Roman"/>
          <w:sz w:val="24"/>
          <w:szCs w:val="24"/>
        </w:rPr>
        <w:t xml:space="preserve"> records on Penal Code Section 1016.3, but in the LADA’s Legal Policy Manual </w:t>
      </w:r>
      <w:r w:rsidR="004977CD">
        <w:rPr>
          <w:rFonts w:eastAsia="Times New Roman"/>
          <w:sz w:val="24"/>
          <w:szCs w:val="24"/>
        </w:rPr>
        <w:t>informs</w:t>
      </w:r>
      <w:r w:rsidR="008D2150">
        <w:rPr>
          <w:rFonts w:eastAsia="Times New Roman"/>
          <w:sz w:val="24"/>
          <w:szCs w:val="24"/>
        </w:rPr>
        <w:t xml:space="preserve"> deputies of their obligations under the section. Any deviation from case settlement policy for felonies or misdemeanors requires prior approval by the Head Deputy or Deputy-in-Charge.</w:t>
      </w:r>
      <w:r w:rsidR="008D2150">
        <w:rPr>
          <w:rStyle w:val="FootnoteReference"/>
          <w:rFonts w:eastAsia="Times New Roman"/>
          <w:sz w:val="24"/>
          <w:szCs w:val="24"/>
        </w:rPr>
        <w:footnoteReference w:id="25"/>
      </w:r>
    </w:p>
    <w:p w14:paraId="5BDBF93D" w14:textId="33980F1C" w:rsidR="001366F5" w:rsidRDefault="001366F5" w:rsidP="00586CDF">
      <w:pPr>
        <w:spacing w:before="240" w:line="240" w:lineRule="auto"/>
        <w:ind w:firstLine="720"/>
        <w:rPr>
          <w:rFonts w:eastAsia="Times New Roman"/>
          <w:sz w:val="24"/>
          <w:szCs w:val="24"/>
        </w:rPr>
      </w:pPr>
      <w:r>
        <w:rPr>
          <w:rFonts w:eastAsia="Times New Roman"/>
          <w:sz w:val="24"/>
          <w:szCs w:val="24"/>
        </w:rPr>
        <w:t xml:space="preserve">The LADA provided several officewide directives relating to implementation of Penal Code Section 1473.7. </w:t>
      </w:r>
      <w:r w:rsidR="00F962EC">
        <w:rPr>
          <w:rFonts w:eastAsia="Times New Roman"/>
          <w:sz w:val="24"/>
          <w:szCs w:val="24"/>
        </w:rPr>
        <w:t>These policies were updates to the office’s Legal Policy Manual Chapter 17 on Post-Conviction Proceedings. The policy includes proactive steps deputies may take to prevent convictions from being set-aside due to a person’s lack of understanding of the consequences of a plea on the person’s immigration status.</w:t>
      </w:r>
      <w:r w:rsidR="005D6319">
        <w:rPr>
          <w:rStyle w:val="FootnoteReference"/>
          <w:rFonts w:eastAsia="Times New Roman"/>
          <w:sz w:val="24"/>
          <w:szCs w:val="24"/>
        </w:rPr>
        <w:footnoteReference w:id="26"/>
      </w:r>
      <w:r w:rsidR="00F962EC">
        <w:rPr>
          <w:rFonts w:eastAsia="Times New Roman"/>
          <w:sz w:val="24"/>
          <w:szCs w:val="24"/>
        </w:rPr>
        <w:t xml:space="preserve"> The LADA also prepares its deputies with procedural defenses in Penal Code Section 1473.7 hearings: (1) deputies must object to the movant’s absence during the hearing</w:t>
      </w:r>
      <w:r w:rsidR="000726E6">
        <w:rPr>
          <w:rFonts w:eastAsia="Times New Roman"/>
          <w:sz w:val="24"/>
          <w:szCs w:val="24"/>
        </w:rPr>
        <w:t>;</w:t>
      </w:r>
      <w:r w:rsidR="00F962EC">
        <w:rPr>
          <w:rFonts w:eastAsia="Times New Roman"/>
          <w:sz w:val="24"/>
          <w:szCs w:val="24"/>
        </w:rPr>
        <w:t xml:space="preserve"> (2) </w:t>
      </w:r>
      <w:r w:rsidR="000726E6">
        <w:rPr>
          <w:rFonts w:eastAsia="Times New Roman"/>
          <w:sz w:val="24"/>
          <w:szCs w:val="24"/>
        </w:rPr>
        <w:t>deputies must object to admission of hearsay evidence; (3) deputies must insist on cross-examination of hearsay declarants; and (4) deputies must object to plea withdrawals out of open court. These directives help uphold convictions regardless of the movant’s claims to injury. Nothing in the LADA’s policy establishes an affirmative procedure for reviewing the claims of the movant and abstaining from fighting clear violations of Penal Code Section 1473.7.</w:t>
      </w:r>
    </w:p>
    <w:p w14:paraId="5CDC74DC" w14:textId="77777777" w:rsidR="00423478" w:rsidRDefault="00441D02" w:rsidP="0052326B">
      <w:pPr>
        <w:spacing w:before="240" w:line="240" w:lineRule="auto"/>
        <w:ind w:firstLine="720"/>
        <w:rPr>
          <w:rFonts w:eastAsia="Times New Roman"/>
          <w:color w:val="000000"/>
          <w:sz w:val="24"/>
          <w:szCs w:val="24"/>
        </w:rPr>
      </w:pPr>
      <w:r>
        <w:rPr>
          <w:rFonts w:eastAsia="Times New Roman"/>
          <w:color w:val="000000"/>
          <w:sz w:val="24"/>
          <w:szCs w:val="24"/>
          <w:u w:val="single"/>
        </w:rPr>
        <w:t>Recommended Next Steps</w:t>
      </w:r>
    </w:p>
    <w:p w14:paraId="7F4DC2F9" w14:textId="188F4D5F" w:rsidR="00423478" w:rsidRDefault="004B6D2B" w:rsidP="00E40F42">
      <w:pPr>
        <w:spacing w:before="240" w:line="276" w:lineRule="auto"/>
        <w:ind w:firstLine="720"/>
        <w:rPr>
          <w:rFonts w:eastAsia="Times New Roman"/>
          <w:sz w:val="24"/>
          <w:szCs w:val="24"/>
        </w:rPr>
      </w:pPr>
      <w:r>
        <w:rPr>
          <w:rFonts w:eastAsia="Times New Roman"/>
          <w:sz w:val="24"/>
          <w:szCs w:val="24"/>
        </w:rPr>
        <w:t xml:space="preserve">That the office has a written policy is </w:t>
      </w:r>
      <w:r w:rsidR="00CB28EB">
        <w:rPr>
          <w:rFonts w:eastAsia="Times New Roman"/>
          <w:sz w:val="24"/>
          <w:szCs w:val="24"/>
        </w:rPr>
        <w:t xml:space="preserve">promising, compared to other jurisdictions. </w:t>
      </w:r>
      <w:r w:rsidR="00E40F42">
        <w:rPr>
          <w:rFonts w:eastAsia="Times New Roman"/>
          <w:sz w:val="24"/>
          <w:szCs w:val="24"/>
        </w:rPr>
        <w:t>An office committed to justice must be able to acknowledge harm, intentional or not, and act accordingly. However, t</w:t>
      </w:r>
      <w:r w:rsidR="00CB28EB">
        <w:rPr>
          <w:rFonts w:eastAsia="Times New Roman"/>
          <w:sz w:val="24"/>
          <w:szCs w:val="24"/>
        </w:rPr>
        <w:t>he LADA’s policy on 1016.3 and 1473.7 assumes a defensive posture.</w:t>
      </w:r>
      <w:r w:rsidR="00E40F42">
        <w:rPr>
          <w:rFonts w:eastAsia="Times New Roman"/>
          <w:sz w:val="24"/>
          <w:szCs w:val="24"/>
        </w:rPr>
        <w:t xml:space="preserve"> A</w:t>
      </w:r>
      <w:r w:rsidR="005A559F">
        <w:rPr>
          <w:rFonts w:eastAsia="Times New Roman"/>
          <w:sz w:val="24"/>
          <w:szCs w:val="24"/>
        </w:rPr>
        <w:t xml:space="preserve"> more just and effective policy to </w:t>
      </w:r>
      <w:r w:rsidR="00C5253D">
        <w:rPr>
          <w:rFonts w:eastAsia="Times New Roman"/>
          <w:sz w:val="24"/>
          <w:szCs w:val="24"/>
        </w:rPr>
        <w:t xml:space="preserve">uphold </w:t>
      </w:r>
      <w:r w:rsidR="00E40F42">
        <w:rPr>
          <w:rFonts w:eastAsia="Times New Roman"/>
          <w:sz w:val="24"/>
          <w:szCs w:val="24"/>
        </w:rPr>
        <w:t xml:space="preserve">the </w:t>
      </w:r>
      <w:r w:rsidR="00C5253D">
        <w:rPr>
          <w:rFonts w:eastAsia="Times New Roman"/>
          <w:sz w:val="24"/>
          <w:szCs w:val="24"/>
        </w:rPr>
        <w:t>integrity of just convictions</w:t>
      </w:r>
      <w:r w:rsidR="005A559F">
        <w:rPr>
          <w:rFonts w:eastAsia="Times New Roman"/>
          <w:sz w:val="24"/>
          <w:szCs w:val="24"/>
        </w:rPr>
        <w:t xml:space="preserve"> while protecting people from adverse immigration consequences might include developing a procedure under </w:t>
      </w:r>
      <w:r w:rsidR="00C5253D">
        <w:rPr>
          <w:rFonts w:eastAsia="Times New Roman"/>
          <w:sz w:val="24"/>
          <w:szCs w:val="24"/>
        </w:rPr>
        <w:t>the LADA’s C</w:t>
      </w:r>
      <w:r w:rsidR="005A559F">
        <w:rPr>
          <w:rFonts w:eastAsia="Times New Roman"/>
          <w:sz w:val="24"/>
          <w:szCs w:val="24"/>
        </w:rPr>
        <w:t xml:space="preserve">onviction </w:t>
      </w:r>
      <w:r w:rsidR="00C5253D">
        <w:rPr>
          <w:rFonts w:eastAsia="Times New Roman"/>
          <w:sz w:val="24"/>
          <w:szCs w:val="24"/>
        </w:rPr>
        <w:t>R</w:t>
      </w:r>
      <w:r w:rsidR="005A559F">
        <w:rPr>
          <w:rFonts w:eastAsia="Times New Roman"/>
          <w:sz w:val="24"/>
          <w:szCs w:val="24"/>
        </w:rPr>
        <w:t xml:space="preserve">eview </w:t>
      </w:r>
      <w:r w:rsidR="00C5253D">
        <w:rPr>
          <w:rFonts w:eastAsia="Times New Roman"/>
          <w:sz w:val="24"/>
          <w:szCs w:val="24"/>
        </w:rPr>
        <w:t>Unit to accept informal post-conviction meetings to offer an opportunity for case review under a claim of prejudicial damage under Penal Code Section 1473.7.</w:t>
      </w:r>
    </w:p>
    <w:p w14:paraId="653DC6C3" w14:textId="3D4FBF15" w:rsidR="00423478" w:rsidRDefault="00423478" w:rsidP="00423478">
      <w:pPr>
        <w:spacing w:before="240"/>
        <w:jc w:val="center"/>
        <w:rPr>
          <w:b/>
          <w:sz w:val="24"/>
          <w:szCs w:val="24"/>
        </w:rPr>
      </w:pPr>
      <w:r>
        <w:rPr>
          <w:b/>
          <w:sz w:val="24"/>
          <w:szCs w:val="24"/>
        </w:rPr>
        <w:t>Request Item #6</w:t>
      </w:r>
      <w:r w:rsidR="0050676E">
        <w:rPr>
          <w:b/>
          <w:sz w:val="24"/>
          <w:szCs w:val="24"/>
        </w:rPr>
        <w:t xml:space="preserve"> – SB 1421 Policies</w:t>
      </w:r>
    </w:p>
    <w:p w14:paraId="0DFF0DDF" w14:textId="77777777" w:rsidR="00423478" w:rsidRDefault="00441D02" w:rsidP="00423478">
      <w:pPr>
        <w:spacing w:before="240" w:line="276" w:lineRule="auto"/>
        <w:ind w:firstLine="720"/>
        <w:rPr>
          <w:sz w:val="24"/>
          <w:szCs w:val="24"/>
          <w:u w:val="single"/>
        </w:rPr>
      </w:pPr>
      <w:r>
        <w:rPr>
          <w:sz w:val="24"/>
          <w:szCs w:val="24"/>
          <w:u w:val="single"/>
        </w:rPr>
        <w:t>ACLU PRA Request</w:t>
      </w:r>
    </w:p>
    <w:p w14:paraId="0CC3CE20" w14:textId="77777777" w:rsidR="00423478" w:rsidRDefault="00423478" w:rsidP="00423478">
      <w:pPr>
        <w:numPr>
          <w:ilvl w:val="0"/>
          <w:numId w:val="1"/>
        </w:numPr>
        <w:spacing w:after="0" w:line="276" w:lineRule="auto"/>
        <w:rPr>
          <w:rFonts w:eastAsia="Times New Roman"/>
          <w:i/>
          <w:sz w:val="24"/>
          <w:szCs w:val="24"/>
        </w:rPr>
      </w:pPr>
      <w:r>
        <w:rPr>
          <w:rFonts w:eastAsia="Times New Roman"/>
          <w:i/>
          <w:sz w:val="24"/>
          <w:szCs w:val="24"/>
        </w:rPr>
        <w:t xml:space="preserve">All records concerning implementation of SB 1421, including copies of any new policies, training manuals or procedures regarding SB 1421, including any policies, procedures </w:t>
      </w:r>
      <w:r>
        <w:rPr>
          <w:rFonts w:eastAsia="Times New Roman"/>
          <w:i/>
          <w:sz w:val="24"/>
          <w:szCs w:val="24"/>
        </w:rPr>
        <w:lastRenderedPageBreak/>
        <w:t>or training manuals for making SB 1421 requests, maintaining SB 1421 records, disclosures of SB 1421 requests to criminal defendants, revisions of any Brady policies in light of SB 1421, and all policies and procedures for reviewing all criminal convictions, arrests and charging decisions, in view of SB 1421. Request #4</w:t>
      </w:r>
      <w:r w:rsidR="00196148">
        <w:rPr>
          <w:rFonts w:eastAsia="Times New Roman"/>
          <w:i/>
          <w:sz w:val="24"/>
          <w:szCs w:val="24"/>
        </w:rPr>
        <w:t xml:space="preserve"> </w:t>
      </w:r>
      <w:r w:rsidR="00196148">
        <w:rPr>
          <w:rFonts w:eastAsia="Times New Roman"/>
          <w:sz w:val="24"/>
          <w:szCs w:val="24"/>
        </w:rPr>
        <w:t>[sic]</w:t>
      </w:r>
      <w:r>
        <w:rPr>
          <w:rFonts w:eastAsia="Times New Roman"/>
          <w:i/>
          <w:sz w:val="24"/>
          <w:szCs w:val="24"/>
        </w:rPr>
        <w:t xml:space="preserve"> is not limited to calendar year 2017 and 2018.</w:t>
      </w:r>
    </w:p>
    <w:p w14:paraId="4EC7583F" w14:textId="77777777" w:rsidR="00423478" w:rsidRDefault="00441D02" w:rsidP="00423478">
      <w:pPr>
        <w:spacing w:before="240" w:line="276" w:lineRule="auto"/>
        <w:ind w:firstLine="720"/>
        <w:rPr>
          <w:rFonts w:eastAsia="Times New Roman"/>
          <w:sz w:val="24"/>
          <w:szCs w:val="24"/>
        </w:rPr>
      </w:pPr>
      <w:r w:rsidRPr="00441D02">
        <w:rPr>
          <w:rFonts w:eastAsia="Times New Roman"/>
          <w:sz w:val="24"/>
          <w:szCs w:val="24"/>
          <w:u w:val="single"/>
        </w:rPr>
        <w:t>District Attorney Response</w:t>
      </w:r>
    </w:p>
    <w:p w14:paraId="509152AF" w14:textId="410315EB" w:rsidR="00423478" w:rsidRDefault="00226C6E" w:rsidP="00423478">
      <w:pPr>
        <w:spacing w:before="240" w:line="240" w:lineRule="auto"/>
        <w:ind w:firstLine="720"/>
        <w:rPr>
          <w:rFonts w:eastAsia="Times New Roman"/>
          <w:color w:val="000000"/>
          <w:sz w:val="24"/>
          <w:szCs w:val="24"/>
        </w:rPr>
      </w:pPr>
      <w:r>
        <w:rPr>
          <w:rFonts w:eastAsia="Times New Roman"/>
          <w:color w:val="000000"/>
          <w:sz w:val="24"/>
          <w:szCs w:val="24"/>
        </w:rPr>
        <w:t>The LADA provided no</w:t>
      </w:r>
      <w:r w:rsidR="00423478" w:rsidRPr="003D5D6F">
        <w:rPr>
          <w:rFonts w:eastAsia="Times New Roman"/>
          <w:color w:val="000000"/>
          <w:sz w:val="24"/>
          <w:szCs w:val="24"/>
        </w:rPr>
        <w:t xml:space="preserve"> responsive record. </w:t>
      </w:r>
      <w:r w:rsidR="00441D02">
        <w:rPr>
          <w:rFonts w:eastAsia="Times New Roman"/>
          <w:color w:val="000000"/>
          <w:sz w:val="24"/>
          <w:szCs w:val="24"/>
        </w:rPr>
        <w:t>The LADA states the requirements of SB 1421</w:t>
      </w:r>
      <w:r w:rsidR="00423478" w:rsidRPr="003D5D6F">
        <w:rPr>
          <w:rFonts w:eastAsia="Times New Roman"/>
          <w:color w:val="000000"/>
          <w:sz w:val="24"/>
          <w:szCs w:val="24"/>
        </w:rPr>
        <w:t xml:space="preserve"> do not apply to line deputies</w:t>
      </w:r>
      <w:r w:rsidR="00441D02">
        <w:rPr>
          <w:rFonts w:eastAsia="Times New Roman"/>
          <w:color w:val="000000"/>
          <w:sz w:val="24"/>
          <w:szCs w:val="24"/>
        </w:rPr>
        <w:t>,</w:t>
      </w:r>
      <w:r w:rsidR="00423478" w:rsidRPr="003D5D6F">
        <w:rPr>
          <w:rFonts w:eastAsia="Times New Roman"/>
          <w:color w:val="000000"/>
          <w:sz w:val="24"/>
          <w:szCs w:val="24"/>
        </w:rPr>
        <w:t xml:space="preserve"> so</w:t>
      </w:r>
      <w:r w:rsidR="00441D02">
        <w:rPr>
          <w:rFonts w:eastAsia="Times New Roman"/>
          <w:color w:val="000000"/>
          <w:sz w:val="24"/>
          <w:szCs w:val="24"/>
        </w:rPr>
        <w:t xml:space="preserve"> the LADA has not considered or implemented any</w:t>
      </w:r>
      <w:r w:rsidR="00423478" w:rsidRPr="003D5D6F">
        <w:rPr>
          <w:rFonts w:eastAsia="Times New Roman"/>
          <w:color w:val="000000"/>
          <w:sz w:val="24"/>
          <w:szCs w:val="24"/>
        </w:rPr>
        <w:t xml:space="preserve"> polic</w:t>
      </w:r>
      <w:r w:rsidR="00441D02">
        <w:rPr>
          <w:rFonts w:eastAsia="Times New Roman"/>
          <w:color w:val="000000"/>
          <w:sz w:val="24"/>
          <w:szCs w:val="24"/>
        </w:rPr>
        <w:t>ies or guidelines</w:t>
      </w:r>
      <w:r w:rsidR="00423478" w:rsidRPr="003D5D6F">
        <w:rPr>
          <w:rFonts w:eastAsia="Times New Roman"/>
          <w:color w:val="000000"/>
          <w:sz w:val="24"/>
          <w:szCs w:val="24"/>
        </w:rPr>
        <w:t xml:space="preserve"> regarding </w:t>
      </w:r>
      <w:r w:rsidR="00441D02">
        <w:rPr>
          <w:rFonts w:eastAsia="Times New Roman"/>
          <w:color w:val="000000"/>
          <w:sz w:val="24"/>
          <w:szCs w:val="24"/>
        </w:rPr>
        <w:t xml:space="preserve">SB </w:t>
      </w:r>
      <w:r w:rsidR="00423478" w:rsidRPr="003D5D6F">
        <w:rPr>
          <w:rFonts w:eastAsia="Times New Roman"/>
          <w:color w:val="000000"/>
          <w:sz w:val="24"/>
          <w:szCs w:val="24"/>
        </w:rPr>
        <w:t>1421</w:t>
      </w:r>
      <w:r w:rsidR="00441D02">
        <w:rPr>
          <w:rFonts w:eastAsia="Times New Roman"/>
          <w:color w:val="000000"/>
          <w:sz w:val="24"/>
          <w:szCs w:val="24"/>
        </w:rPr>
        <w:t>.</w:t>
      </w:r>
    </w:p>
    <w:p w14:paraId="721DEFB1" w14:textId="77777777" w:rsidR="00423478" w:rsidRDefault="00441D02" w:rsidP="00423478">
      <w:pPr>
        <w:spacing w:before="240" w:line="240" w:lineRule="auto"/>
        <w:ind w:firstLine="720"/>
        <w:rPr>
          <w:rFonts w:eastAsia="Times New Roman"/>
          <w:color w:val="000000"/>
          <w:sz w:val="24"/>
          <w:szCs w:val="24"/>
        </w:rPr>
      </w:pPr>
      <w:r>
        <w:rPr>
          <w:rFonts w:eastAsia="Times New Roman"/>
          <w:color w:val="000000"/>
          <w:sz w:val="24"/>
          <w:szCs w:val="24"/>
          <w:u w:val="single"/>
        </w:rPr>
        <w:t>Recommended Next Steps</w:t>
      </w:r>
    </w:p>
    <w:p w14:paraId="01815DA1" w14:textId="77777777" w:rsidR="00B4504E" w:rsidRDefault="00441D02" w:rsidP="00B4504E">
      <w:pPr>
        <w:spacing w:before="240" w:line="276" w:lineRule="auto"/>
        <w:ind w:firstLine="720"/>
        <w:rPr>
          <w:rFonts w:eastAsia="Times New Roman"/>
          <w:sz w:val="24"/>
          <w:szCs w:val="24"/>
        </w:rPr>
      </w:pPr>
      <w:r>
        <w:rPr>
          <w:rFonts w:eastAsia="Times New Roman"/>
          <w:sz w:val="24"/>
          <w:szCs w:val="24"/>
        </w:rPr>
        <w:t>The LADA</w:t>
      </w:r>
      <w:r w:rsidR="0029660F">
        <w:rPr>
          <w:rFonts w:eastAsia="Times New Roman"/>
          <w:sz w:val="24"/>
          <w:szCs w:val="24"/>
        </w:rPr>
        <w:t xml:space="preserve"> misstates</w:t>
      </w:r>
      <w:r>
        <w:rPr>
          <w:rFonts w:eastAsia="Times New Roman"/>
          <w:sz w:val="24"/>
          <w:szCs w:val="24"/>
        </w:rPr>
        <w:t xml:space="preserve"> that SB 1421 requirements do not apply </w:t>
      </w:r>
      <w:r w:rsidR="0029660F">
        <w:rPr>
          <w:rFonts w:eastAsia="Times New Roman"/>
          <w:sz w:val="24"/>
          <w:szCs w:val="24"/>
        </w:rPr>
        <w:t>to line deputies</w:t>
      </w:r>
      <w:r w:rsidR="00196148">
        <w:rPr>
          <w:rFonts w:eastAsia="Times New Roman"/>
          <w:sz w:val="24"/>
          <w:szCs w:val="24"/>
        </w:rPr>
        <w:t>.</w:t>
      </w:r>
      <w:r>
        <w:rPr>
          <w:rFonts w:eastAsia="Times New Roman"/>
          <w:sz w:val="24"/>
          <w:szCs w:val="24"/>
        </w:rPr>
        <w:t xml:space="preserve"> </w:t>
      </w:r>
      <w:r w:rsidR="0029660F">
        <w:rPr>
          <w:rFonts w:eastAsia="Times New Roman"/>
          <w:sz w:val="24"/>
          <w:szCs w:val="24"/>
        </w:rPr>
        <w:t xml:space="preserve">The purpose of SB 1421 is to promote </w:t>
      </w:r>
      <w:r w:rsidR="00B4504E">
        <w:rPr>
          <w:rFonts w:eastAsia="Times New Roman"/>
          <w:sz w:val="24"/>
          <w:szCs w:val="24"/>
        </w:rPr>
        <w:t xml:space="preserve">transparency and </w:t>
      </w:r>
      <w:r w:rsidR="0029660F">
        <w:rPr>
          <w:rFonts w:eastAsia="Times New Roman"/>
          <w:sz w:val="24"/>
          <w:szCs w:val="24"/>
        </w:rPr>
        <w:t xml:space="preserve">accountability of law enforcement through the disclosure of misconduct and dishonesty. </w:t>
      </w:r>
      <w:r w:rsidR="00B4504E">
        <w:rPr>
          <w:rFonts w:eastAsia="Times New Roman"/>
          <w:sz w:val="24"/>
          <w:szCs w:val="24"/>
        </w:rPr>
        <w:t xml:space="preserve">Before the passage of SB 1421, District Attorneys already had access to officer records. With the passage of SB 1421, the </w:t>
      </w:r>
      <w:r w:rsidR="0029660F">
        <w:rPr>
          <w:rFonts w:eastAsia="Times New Roman"/>
          <w:sz w:val="24"/>
          <w:szCs w:val="24"/>
        </w:rPr>
        <w:t>role of line deputies</w:t>
      </w:r>
      <w:r w:rsidR="00B4504E">
        <w:rPr>
          <w:rFonts w:eastAsia="Times New Roman"/>
          <w:sz w:val="24"/>
          <w:szCs w:val="24"/>
        </w:rPr>
        <w:t xml:space="preserve"> in upholding the text and spirit of SB 1421</w:t>
      </w:r>
      <w:r w:rsidR="0029660F">
        <w:rPr>
          <w:rFonts w:eastAsia="Times New Roman"/>
          <w:sz w:val="24"/>
          <w:szCs w:val="24"/>
        </w:rPr>
        <w:t xml:space="preserve"> </w:t>
      </w:r>
      <w:r w:rsidR="00B4504E">
        <w:rPr>
          <w:rFonts w:eastAsia="Times New Roman"/>
          <w:sz w:val="24"/>
          <w:szCs w:val="24"/>
        </w:rPr>
        <w:t>must be retrieving</w:t>
      </w:r>
      <w:r w:rsidR="0029660F">
        <w:rPr>
          <w:rFonts w:eastAsia="Times New Roman"/>
          <w:sz w:val="24"/>
          <w:szCs w:val="24"/>
        </w:rPr>
        <w:t xml:space="preserve"> information o</w:t>
      </w:r>
      <w:r w:rsidR="00B4504E">
        <w:rPr>
          <w:rFonts w:eastAsia="Times New Roman"/>
          <w:sz w:val="24"/>
          <w:szCs w:val="24"/>
        </w:rPr>
        <w:t xml:space="preserve">n any officer involved in a case to confirm the trustworthiness of the officer’s sworn testimony. </w:t>
      </w:r>
    </w:p>
    <w:p w14:paraId="5AF19492" w14:textId="029AF1A7" w:rsidR="000C4EA2" w:rsidRDefault="00B4504E" w:rsidP="000C4EA2">
      <w:pPr>
        <w:spacing w:before="240" w:line="276" w:lineRule="auto"/>
        <w:ind w:firstLine="720"/>
        <w:rPr>
          <w:rFonts w:eastAsia="Times New Roman"/>
          <w:sz w:val="24"/>
          <w:szCs w:val="24"/>
        </w:rPr>
      </w:pPr>
      <w:r>
        <w:rPr>
          <w:rFonts w:eastAsia="Times New Roman"/>
          <w:sz w:val="24"/>
          <w:szCs w:val="24"/>
        </w:rPr>
        <w:t>The initial decision to prosecute a suspect depends on the sworn incident reports provided by the arresting officers. If those officers have a history of dishonesty, then the reports could hardly serve a</w:t>
      </w:r>
      <w:r w:rsidR="00562A69">
        <w:rPr>
          <w:rFonts w:eastAsia="Times New Roman"/>
          <w:sz w:val="24"/>
          <w:szCs w:val="24"/>
        </w:rPr>
        <w:t>s</w:t>
      </w:r>
      <w:r>
        <w:rPr>
          <w:rFonts w:eastAsia="Times New Roman"/>
          <w:sz w:val="24"/>
          <w:szCs w:val="24"/>
        </w:rPr>
        <w:t xml:space="preserve"> </w:t>
      </w:r>
      <w:r w:rsidR="00562A69">
        <w:rPr>
          <w:rFonts w:eastAsia="Times New Roman"/>
          <w:sz w:val="24"/>
          <w:szCs w:val="24"/>
        </w:rPr>
        <w:t xml:space="preserve">a </w:t>
      </w:r>
      <w:r>
        <w:rPr>
          <w:rFonts w:eastAsia="Times New Roman"/>
          <w:sz w:val="24"/>
          <w:szCs w:val="24"/>
        </w:rPr>
        <w:t>credible basis for initial prosecutorial decisions.</w:t>
      </w:r>
      <w:r w:rsidR="000C4EA2">
        <w:rPr>
          <w:rFonts w:eastAsia="Times New Roman"/>
          <w:sz w:val="24"/>
          <w:szCs w:val="24"/>
        </w:rPr>
        <w:t xml:space="preserve"> Therefore, the ACLU recommends the LADA take the following steps to improve transparency and accountability:</w:t>
      </w:r>
    </w:p>
    <w:p w14:paraId="00DD8FE4" w14:textId="77777777" w:rsidR="000C4EA2" w:rsidRPr="000C4EA2" w:rsidRDefault="000C4EA2" w:rsidP="000C4EA2">
      <w:pPr>
        <w:pStyle w:val="ListParagraph"/>
        <w:numPr>
          <w:ilvl w:val="0"/>
          <w:numId w:val="2"/>
        </w:numPr>
        <w:spacing w:before="240" w:line="276" w:lineRule="auto"/>
        <w:rPr>
          <w:rFonts w:eastAsia="Times New Roman"/>
          <w:sz w:val="24"/>
          <w:szCs w:val="24"/>
        </w:rPr>
      </w:pPr>
      <w:r>
        <w:rPr>
          <w:rFonts w:eastAsia="Times New Roman"/>
          <w:sz w:val="24"/>
          <w:szCs w:val="24"/>
        </w:rPr>
        <w:t>Develop a guidelines and practices of reviewing an officer’s history of misconduct in each case, regardless of whether any disciplinary action was taken, or whether inquiries in an officer’s misconduct or dishonesty resulted in sustained findings.</w:t>
      </w:r>
    </w:p>
    <w:p w14:paraId="4EE5DD84" w14:textId="77777777" w:rsidR="002B001A" w:rsidRDefault="000C4EA2" w:rsidP="000C4EA2">
      <w:pPr>
        <w:pStyle w:val="ListParagraph"/>
        <w:numPr>
          <w:ilvl w:val="0"/>
          <w:numId w:val="2"/>
        </w:numPr>
        <w:spacing w:before="240" w:line="276" w:lineRule="auto"/>
        <w:rPr>
          <w:rFonts w:eastAsia="Times New Roman"/>
          <w:sz w:val="24"/>
          <w:szCs w:val="24"/>
        </w:rPr>
      </w:pPr>
      <w:r>
        <w:rPr>
          <w:rFonts w:eastAsia="Times New Roman"/>
          <w:sz w:val="24"/>
          <w:szCs w:val="24"/>
        </w:rPr>
        <w:t>E</w:t>
      </w:r>
      <w:r w:rsidR="0029660F" w:rsidRPr="000C4EA2">
        <w:rPr>
          <w:rFonts w:eastAsia="Times New Roman"/>
          <w:sz w:val="24"/>
          <w:szCs w:val="24"/>
        </w:rPr>
        <w:t xml:space="preserve">stablish </w:t>
      </w:r>
      <w:r w:rsidR="00B4504E" w:rsidRPr="000C4EA2">
        <w:rPr>
          <w:rFonts w:eastAsia="Times New Roman"/>
          <w:sz w:val="24"/>
          <w:szCs w:val="24"/>
        </w:rPr>
        <w:t>office</w:t>
      </w:r>
      <w:r>
        <w:rPr>
          <w:rFonts w:eastAsia="Times New Roman"/>
          <w:sz w:val="24"/>
          <w:szCs w:val="24"/>
        </w:rPr>
        <w:t>-wide</w:t>
      </w:r>
      <w:r w:rsidR="00441D02" w:rsidRPr="000C4EA2">
        <w:rPr>
          <w:rFonts w:eastAsia="Times New Roman"/>
          <w:sz w:val="24"/>
          <w:szCs w:val="24"/>
        </w:rPr>
        <w:t xml:space="preserve"> </w:t>
      </w:r>
      <w:r>
        <w:rPr>
          <w:rFonts w:eastAsia="Times New Roman"/>
          <w:sz w:val="24"/>
          <w:szCs w:val="24"/>
        </w:rPr>
        <w:t>guidelines and practices to</w:t>
      </w:r>
      <w:r w:rsidR="00441D02" w:rsidRPr="000C4EA2">
        <w:rPr>
          <w:rFonts w:eastAsia="Times New Roman"/>
          <w:sz w:val="24"/>
          <w:szCs w:val="24"/>
        </w:rPr>
        <w:t xml:space="preserve"> </w:t>
      </w:r>
      <w:r>
        <w:rPr>
          <w:rFonts w:eastAsia="Times New Roman"/>
          <w:sz w:val="24"/>
          <w:szCs w:val="24"/>
        </w:rPr>
        <w:t>disclose</w:t>
      </w:r>
      <w:r w:rsidR="00441D02" w:rsidRPr="000C4EA2">
        <w:rPr>
          <w:rFonts w:eastAsia="Times New Roman"/>
          <w:sz w:val="24"/>
          <w:szCs w:val="24"/>
        </w:rPr>
        <w:t xml:space="preserve"> </w:t>
      </w:r>
      <w:r w:rsidRPr="000C4EA2">
        <w:rPr>
          <w:rFonts w:eastAsia="Times New Roman"/>
          <w:sz w:val="24"/>
          <w:szCs w:val="24"/>
        </w:rPr>
        <w:t>to criminal defendants</w:t>
      </w:r>
      <w:r>
        <w:rPr>
          <w:rFonts w:eastAsia="Times New Roman"/>
          <w:sz w:val="24"/>
          <w:szCs w:val="24"/>
        </w:rPr>
        <w:t xml:space="preserve"> the arresting officer’s history of misconduct or dishonesty.</w:t>
      </w:r>
      <w:r w:rsidR="002B001A" w:rsidRPr="000C4EA2">
        <w:rPr>
          <w:rFonts w:eastAsia="Times New Roman"/>
          <w:sz w:val="24"/>
          <w:szCs w:val="24"/>
        </w:rPr>
        <w:t xml:space="preserve"> </w:t>
      </w:r>
    </w:p>
    <w:p w14:paraId="636FF9ED" w14:textId="77777777" w:rsidR="000C4EA2" w:rsidRPr="000C4EA2" w:rsidRDefault="000C4EA2" w:rsidP="000C4EA2">
      <w:pPr>
        <w:pStyle w:val="ListParagraph"/>
        <w:numPr>
          <w:ilvl w:val="0"/>
          <w:numId w:val="2"/>
        </w:numPr>
        <w:spacing w:before="240" w:line="276" w:lineRule="auto"/>
        <w:rPr>
          <w:rFonts w:eastAsia="Times New Roman"/>
          <w:sz w:val="24"/>
          <w:szCs w:val="24"/>
        </w:rPr>
      </w:pPr>
      <w:r>
        <w:rPr>
          <w:rFonts w:eastAsia="Times New Roman"/>
          <w:sz w:val="24"/>
          <w:szCs w:val="24"/>
        </w:rPr>
        <w:t xml:space="preserve">Create a cadre of </w:t>
      </w:r>
      <w:r w:rsidR="00C1546B">
        <w:rPr>
          <w:rFonts w:eastAsia="Times New Roman"/>
          <w:sz w:val="24"/>
          <w:szCs w:val="24"/>
        </w:rPr>
        <w:t>two</w:t>
      </w:r>
      <w:r>
        <w:rPr>
          <w:rFonts w:eastAsia="Times New Roman"/>
          <w:sz w:val="24"/>
          <w:szCs w:val="24"/>
        </w:rPr>
        <w:t xml:space="preserve"> or </w:t>
      </w:r>
      <w:r w:rsidR="00C1546B">
        <w:rPr>
          <w:rFonts w:eastAsia="Times New Roman"/>
          <w:sz w:val="24"/>
          <w:szCs w:val="24"/>
        </w:rPr>
        <w:t>three</w:t>
      </w:r>
      <w:r>
        <w:rPr>
          <w:rFonts w:eastAsia="Times New Roman"/>
          <w:sz w:val="24"/>
          <w:szCs w:val="24"/>
        </w:rPr>
        <w:t xml:space="preserve"> </w:t>
      </w:r>
      <w:r w:rsidR="00C1546B">
        <w:rPr>
          <w:rFonts w:eastAsia="Times New Roman"/>
          <w:sz w:val="24"/>
          <w:szCs w:val="24"/>
        </w:rPr>
        <w:t xml:space="preserve">staff </w:t>
      </w:r>
      <w:r>
        <w:rPr>
          <w:rFonts w:eastAsia="Times New Roman"/>
          <w:sz w:val="24"/>
          <w:szCs w:val="24"/>
        </w:rPr>
        <w:t xml:space="preserve">attorneys to retrieve information on past </w:t>
      </w:r>
      <w:r w:rsidR="00C1546B">
        <w:rPr>
          <w:rFonts w:eastAsia="Times New Roman"/>
          <w:sz w:val="24"/>
          <w:szCs w:val="24"/>
        </w:rPr>
        <w:t xml:space="preserve">and current </w:t>
      </w:r>
      <w:r>
        <w:rPr>
          <w:rFonts w:eastAsia="Times New Roman"/>
          <w:sz w:val="24"/>
          <w:szCs w:val="24"/>
        </w:rPr>
        <w:t>police officers</w:t>
      </w:r>
      <w:r w:rsidR="00C1546B">
        <w:rPr>
          <w:rFonts w:eastAsia="Times New Roman"/>
          <w:sz w:val="24"/>
          <w:szCs w:val="24"/>
        </w:rPr>
        <w:t>’ records of misconduct or dishonesty, so the office may review any cases where those officers played a material role in the arrest and prosecution of the defendants. This would require adopting new procedures and standards for review. For example, the LADA could develop a method of intake where defense counsel may submit cases for review.</w:t>
      </w:r>
    </w:p>
    <w:p w14:paraId="59D3F0C2" w14:textId="77777777" w:rsidR="0012106C" w:rsidRDefault="0012106C"/>
    <w:sectPr w:rsidR="0012106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808B2" w14:textId="77777777" w:rsidR="003A5858" w:rsidRDefault="003A5858">
      <w:pPr>
        <w:spacing w:after="0" w:line="240" w:lineRule="auto"/>
      </w:pPr>
      <w:r>
        <w:separator/>
      </w:r>
    </w:p>
  </w:endnote>
  <w:endnote w:type="continuationSeparator" w:id="0">
    <w:p w14:paraId="71C71B71" w14:textId="77777777" w:rsidR="003A5858" w:rsidRDefault="003A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314821"/>
      <w:docPartObj>
        <w:docPartGallery w:val="Page Numbers (Bottom of Page)"/>
        <w:docPartUnique/>
      </w:docPartObj>
    </w:sdtPr>
    <w:sdtEndPr/>
    <w:sdtContent>
      <w:sdt>
        <w:sdtPr>
          <w:id w:val="1728636285"/>
          <w:docPartObj>
            <w:docPartGallery w:val="Page Numbers (Top of Page)"/>
            <w:docPartUnique/>
          </w:docPartObj>
        </w:sdtPr>
        <w:sdtEndPr/>
        <w:sdtContent>
          <w:p w14:paraId="1093C54A" w14:textId="77777777" w:rsidR="00991FE0" w:rsidRDefault="00991FE0">
            <w:pPr>
              <w:pStyle w:val="Footer"/>
              <w:jc w:val="center"/>
            </w:pPr>
            <w:r w:rsidRPr="006C105D">
              <w:t xml:space="preserve">Page </w:t>
            </w:r>
            <w:r w:rsidRPr="006C105D">
              <w:rPr>
                <w:bCs/>
                <w:sz w:val="24"/>
                <w:szCs w:val="24"/>
              </w:rPr>
              <w:fldChar w:fldCharType="begin"/>
            </w:r>
            <w:r w:rsidRPr="006C105D">
              <w:rPr>
                <w:bCs/>
              </w:rPr>
              <w:instrText xml:space="preserve"> PAGE </w:instrText>
            </w:r>
            <w:r w:rsidRPr="006C105D">
              <w:rPr>
                <w:bCs/>
                <w:sz w:val="24"/>
                <w:szCs w:val="24"/>
              </w:rPr>
              <w:fldChar w:fldCharType="separate"/>
            </w:r>
            <w:r w:rsidRPr="006C105D">
              <w:rPr>
                <w:bCs/>
                <w:noProof/>
              </w:rPr>
              <w:t>2</w:t>
            </w:r>
            <w:r w:rsidRPr="006C105D">
              <w:rPr>
                <w:bCs/>
                <w:sz w:val="24"/>
                <w:szCs w:val="24"/>
              </w:rPr>
              <w:fldChar w:fldCharType="end"/>
            </w:r>
            <w:r w:rsidRPr="006C105D">
              <w:t xml:space="preserve"> of </w:t>
            </w:r>
            <w:r w:rsidRPr="006C105D">
              <w:rPr>
                <w:bCs/>
                <w:sz w:val="24"/>
                <w:szCs w:val="24"/>
              </w:rPr>
              <w:fldChar w:fldCharType="begin"/>
            </w:r>
            <w:r w:rsidRPr="006C105D">
              <w:rPr>
                <w:bCs/>
              </w:rPr>
              <w:instrText xml:space="preserve"> NUMPAGES  </w:instrText>
            </w:r>
            <w:r w:rsidRPr="006C105D">
              <w:rPr>
                <w:bCs/>
                <w:sz w:val="24"/>
                <w:szCs w:val="24"/>
              </w:rPr>
              <w:fldChar w:fldCharType="separate"/>
            </w:r>
            <w:r w:rsidRPr="006C105D">
              <w:rPr>
                <w:bCs/>
                <w:noProof/>
              </w:rPr>
              <w:t>2</w:t>
            </w:r>
            <w:r w:rsidRPr="006C105D">
              <w:rPr>
                <w:bCs/>
                <w:sz w:val="24"/>
                <w:szCs w:val="24"/>
              </w:rPr>
              <w:fldChar w:fldCharType="end"/>
            </w:r>
          </w:p>
        </w:sdtContent>
      </w:sdt>
    </w:sdtContent>
  </w:sdt>
  <w:p w14:paraId="10045B83" w14:textId="77777777" w:rsidR="00991FE0" w:rsidRDefault="0099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1EF3E" w14:textId="77777777" w:rsidR="003A5858" w:rsidRDefault="003A5858">
      <w:pPr>
        <w:spacing w:after="0" w:line="240" w:lineRule="auto"/>
      </w:pPr>
      <w:r>
        <w:separator/>
      </w:r>
    </w:p>
  </w:footnote>
  <w:footnote w:type="continuationSeparator" w:id="0">
    <w:p w14:paraId="2504B376" w14:textId="77777777" w:rsidR="003A5858" w:rsidRDefault="003A5858">
      <w:pPr>
        <w:spacing w:after="0" w:line="240" w:lineRule="auto"/>
      </w:pPr>
      <w:r>
        <w:continuationSeparator/>
      </w:r>
    </w:p>
  </w:footnote>
  <w:footnote w:id="1">
    <w:p w14:paraId="55CAD348" w14:textId="27EB13A5" w:rsidR="00991FE0" w:rsidRPr="00562860" w:rsidRDefault="00991FE0">
      <w:pPr>
        <w:pStyle w:val="FootnoteText"/>
      </w:pPr>
      <w:r w:rsidRPr="00562860">
        <w:rPr>
          <w:rStyle w:val="FootnoteReference"/>
        </w:rPr>
        <w:footnoteRef/>
      </w:r>
      <w:r w:rsidRPr="00562860">
        <w:t xml:space="preserve"> </w:t>
      </w:r>
      <w:r w:rsidRPr="00562860">
        <w:rPr>
          <w:i/>
        </w:rPr>
        <w:t>See</w:t>
      </w:r>
      <w:r w:rsidRPr="00562860">
        <w:t xml:space="preserve"> Legal Policy Manual, Chapter 6.01.01. Updated January 15, 2019. Page 114.</w:t>
      </w:r>
    </w:p>
  </w:footnote>
  <w:footnote w:id="2">
    <w:p w14:paraId="091F6F7D" w14:textId="62E84E48" w:rsidR="00991FE0" w:rsidRPr="00562860" w:rsidRDefault="00991FE0">
      <w:pPr>
        <w:pStyle w:val="FootnoteText"/>
      </w:pPr>
      <w:r w:rsidRPr="00562860">
        <w:rPr>
          <w:rStyle w:val="FootnoteReference"/>
        </w:rPr>
        <w:footnoteRef/>
      </w:r>
      <w:r w:rsidRPr="00562860">
        <w:t xml:space="preserve"> The Alternative Sentencing Court Programs include LA County Drug Court, Co-Occurring Disorders Court, Sentenced Offender Drug Court, Women’s Re-Entry Court, Veterans Court, and Community Collaborative Court.</w:t>
      </w:r>
      <w:r w:rsidR="00562860">
        <w:t xml:space="preserve"> </w:t>
      </w:r>
      <w:r w:rsidR="00562860">
        <w:rPr>
          <w:i/>
        </w:rPr>
        <w:t xml:space="preserve">See </w:t>
      </w:r>
      <w:r w:rsidR="00562860">
        <w:t>Legal Policy Manual, Chapters 15.05 (drug court), 28.01 (mental health diversion), 28.02 (description of all alternative sentencing court programs).</w:t>
      </w:r>
    </w:p>
  </w:footnote>
  <w:footnote w:id="3">
    <w:p w14:paraId="4EFC12E4" w14:textId="093B45F4" w:rsidR="00991FE0" w:rsidRPr="00562860" w:rsidRDefault="00991FE0">
      <w:pPr>
        <w:pStyle w:val="FootnoteText"/>
      </w:pPr>
      <w:r w:rsidRPr="00562860">
        <w:rPr>
          <w:rStyle w:val="FootnoteReference"/>
        </w:rPr>
        <w:footnoteRef/>
      </w:r>
      <w:r w:rsidRPr="00562860">
        <w:t xml:space="preserve"> </w:t>
      </w:r>
      <w:r w:rsidRPr="00562860">
        <w:rPr>
          <w:i/>
        </w:rPr>
        <w:t xml:space="preserve">See </w:t>
      </w:r>
      <w:hyperlink r:id="rId1" w:history="1">
        <w:r w:rsidR="00562860" w:rsidRPr="00562860">
          <w:rPr>
            <w:rStyle w:val="Hyperlink"/>
            <w:i/>
          </w:rPr>
          <w:t>California Penal Code § 186.20 et seq</w:t>
        </w:r>
      </w:hyperlink>
      <w:r w:rsidRPr="00562860">
        <w:t>. For reference to broad definitions of what constitutes “criminal gang activity,” see also PC §§ 186.22(e), (f), (</w:t>
      </w:r>
      <w:proofErr w:type="spellStart"/>
      <w:r w:rsidRPr="00562860">
        <w:t>i</w:t>
      </w:r>
      <w:proofErr w:type="spellEnd"/>
      <w:r w:rsidRPr="00562860">
        <w:t xml:space="preserve">) and 186.30. (“[I]t is not necessary for the prosecution to prove that the person devotes all, or a substantial part, of his or her time or efforts to the criminal street gang, </w:t>
      </w:r>
      <w:r w:rsidRPr="000A4A4B">
        <w:rPr>
          <w:i/>
        </w:rPr>
        <w:t>nor is it necessary to prove that the person is a member of the criminal street gang</w:t>
      </w:r>
      <w:r w:rsidRPr="00562860">
        <w:t>. Active participation in the criminal street gang is all that is required.”)</w:t>
      </w:r>
    </w:p>
  </w:footnote>
  <w:footnote w:id="4">
    <w:p w14:paraId="30900626" w14:textId="62D2C617" w:rsidR="00991FE0" w:rsidRPr="00562860" w:rsidRDefault="00991FE0">
      <w:pPr>
        <w:pStyle w:val="FootnoteText"/>
      </w:pPr>
      <w:r w:rsidRPr="00562860">
        <w:rPr>
          <w:rStyle w:val="FootnoteReference"/>
        </w:rPr>
        <w:footnoteRef/>
      </w:r>
      <w:r w:rsidRPr="00562860">
        <w:t xml:space="preserve"> </w:t>
      </w:r>
      <w:r w:rsidRPr="00562860">
        <w:rPr>
          <w:i/>
        </w:rPr>
        <w:t xml:space="preserve">See </w:t>
      </w:r>
      <w:r w:rsidRPr="00562860">
        <w:t>Legal Policy Manual, Chapter 6.01.02. Updated January 15, 2019. Page 115 (in “</w:t>
      </w:r>
      <w:r w:rsidRPr="00562860">
        <w:rPr>
          <w:i/>
        </w:rPr>
        <w:t>Commentary</w:t>
      </w:r>
      <w:r w:rsidRPr="00562860">
        <w:t>” section).</w:t>
      </w:r>
    </w:p>
  </w:footnote>
  <w:footnote w:id="5">
    <w:p w14:paraId="70B50824" w14:textId="765E9986" w:rsidR="00991FE0" w:rsidRPr="00562860" w:rsidRDefault="00991FE0">
      <w:pPr>
        <w:pStyle w:val="FootnoteText"/>
      </w:pPr>
      <w:r w:rsidRPr="00562860">
        <w:rPr>
          <w:rStyle w:val="FootnoteReference"/>
        </w:rPr>
        <w:footnoteRef/>
      </w:r>
      <w:r w:rsidRPr="00562860">
        <w:t xml:space="preserve"> Brooklyn Office of District Attorney. Press Release. “Brooklyn District Attorney Eric Gonzalez Announces Dedicated Post-Conviction Justice Bureau That Will Include Parole and Clemency Unit, Sealing Unit, and Nationally Recognized Conviction Review Unit.” Wed., April 17, 2019. </w:t>
      </w:r>
      <w:hyperlink r:id="rId2" w:history="1">
        <w:r w:rsidRPr="00562860">
          <w:rPr>
            <w:rStyle w:val="Hyperlink"/>
          </w:rPr>
          <w:t>http://www.brooklynda.org/2019/04/17/brooklyn-district-attorney-eric-gonzalez-announces-dedicated-post-conviction-justice-bureau-that-will-include-parole-and-clemency-unit-sealing-unit-and-nationally-recognized-conviction-review-unit/</w:t>
        </w:r>
      </w:hyperlink>
      <w:r w:rsidRPr="00562860">
        <w:t xml:space="preserve">. </w:t>
      </w:r>
    </w:p>
  </w:footnote>
  <w:footnote w:id="6">
    <w:p w14:paraId="42587035" w14:textId="76B9A8FD" w:rsidR="00991FE0" w:rsidRPr="00562860" w:rsidRDefault="00991FE0">
      <w:pPr>
        <w:pStyle w:val="FootnoteText"/>
      </w:pPr>
      <w:r w:rsidRPr="00562860">
        <w:rPr>
          <w:rStyle w:val="FootnoteReference"/>
        </w:rPr>
        <w:footnoteRef/>
      </w:r>
      <w:r w:rsidRPr="00562860">
        <w:t xml:space="preserve"> Los Angeles County District Attorney’s Office. “Mission Statement.” Accessed June 9, 2019. </w:t>
      </w:r>
      <w:hyperlink r:id="rId3" w:history="1">
        <w:r w:rsidRPr="00562860">
          <w:rPr>
            <w:rStyle w:val="Hyperlink"/>
          </w:rPr>
          <w:t>http://da.co.la.ca.us/about/mission-statement</w:t>
        </w:r>
      </w:hyperlink>
      <w:r w:rsidRPr="00562860">
        <w:t xml:space="preserve">. </w:t>
      </w:r>
    </w:p>
  </w:footnote>
  <w:footnote w:id="7">
    <w:p w14:paraId="1CFBCB90" w14:textId="25BD40E7" w:rsidR="00991FE0" w:rsidRPr="00562860" w:rsidRDefault="00991FE0">
      <w:pPr>
        <w:pStyle w:val="FootnoteText"/>
      </w:pPr>
      <w:r w:rsidRPr="00562860">
        <w:rPr>
          <w:rStyle w:val="FootnoteReference"/>
        </w:rPr>
        <w:footnoteRef/>
      </w:r>
      <w:r w:rsidRPr="00562860">
        <w:t xml:space="preserve"> Led by Head Deputy Steven Frankland and Assistant Head Deputy Donna Lebowitz. </w:t>
      </w:r>
      <w:r w:rsidRPr="00562860">
        <w:rPr>
          <w:i/>
        </w:rPr>
        <w:t xml:space="preserve">See </w:t>
      </w:r>
      <w:r w:rsidRPr="00562860">
        <w:t xml:space="preserve">LADA’s “Organizational Chart.” Updated January 25, 2019. </w:t>
      </w:r>
      <w:hyperlink r:id="rId4" w:history="1">
        <w:r w:rsidRPr="00562860">
          <w:rPr>
            <w:rStyle w:val="Hyperlink"/>
          </w:rPr>
          <w:t>http://da.co.la.ca.us/sites/default/files/pdf/Org-chart-0119.pdf</w:t>
        </w:r>
      </w:hyperlink>
      <w:r w:rsidRPr="00562860">
        <w:t xml:space="preserve">. </w:t>
      </w:r>
    </w:p>
  </w:footnote>
  <w:footnote w:id="8">
    <w:p w14:paraId="1B99BC52" w14:textId="688EBF00" w:rsidR="00991FE0" w:rsidRPr="00562860" w:rsidRDefault="00991FE0">
      <w:pPr>
        <w:pStyle w:val="FootnoteText"/>
      </w:pPr>
      <w:r w:rsidRPr="00562860">
        <w:rPr>
          <w:rStyle w:val="FootnoteReference"/>
        </w:rPr>
        <w:footnoteRef/>
      </w:r>
      <w:r w:rsidRPr="00562860">
        <w:t xml:space="preserve"> Led by Deputy-in-Charge Robert Grace. </w:t>
      </w:r>
      <w:r w:rsidRPr="00562860">
        <w:rPr>
          <w:i/>
        </w:rPr>
        <w:t xml:space="preserve">See </w:t>
      </w:r>
      <w:r w:rsidRPr="00562860">
        <w:t xml:space="preserve">LADA’s “Organizational Chart.” Updated January 25, 2019. </w:t>
      </w:r>
      <w:hyperlink r:id="rId5" w:history="1">
        <w:r w:rsidRPr="00562860">
          <w:rPr>
            <w:rStyle w:val="Hyperlink"/>
          </w:rPr>
          <w:t>http://da.co.la.ca.us/sites/default/files/pdf/Org-chart-0119.pdf</w:t>
        </w:r>
      </w:hyperlink>
      <w:r w:rsidRPr="00562860">
        <w:t xml:space="preserve">. </w:t>
      </w:r>
      <w:r w:rsidRPr="00562860">
        <w:rPr>
          <w:i/>
        </w:rPr>
        <w:t xml:space="preserve"> </w:t>
      </w:r>
    </w:p>
  </w:footnote>
  <w:footnote w:id="9">
    <w:p w14:paraId="2CBE26AF" w14:textId="6A162657" w:rsidR="00F70984" w:rsidRDefault="00F70984">
      <w:pPr>
        <w:pStyle w:val="FootnoteText"/>
      </w:pPr>
      <w:r>
        <w:rPr>
          <w:rStyle w:val="FootnoteReference"/>
        </w:rPr>
        <w:footnoteRef/>
      </w:r>
      <w:r>
        <w:t xml:space="preserve"> Legal Policy Manual, Chapter 2.07.01.</w:t>
      </w:r>
    </w:p>
  </w:footnote>
  <w:footnote w:id="10">
    <w:p w14:paraId="1596D3BA" w14:textId="24437CDA" w:rsidR="00F70984" w:rsidRPr="00F70984" w:rsidRDefault="00F70984">
      <w:pPr>
        <w:pStyle w:val="FootnoteText"/>
      </w:pPr>
      <w:r>
        <w:rPr>
          <w:rStyle w:val="FootnoteReference"/>
        </w:rPr>
        <w:footnoteRef/>
      </w:r>
      <w:r>
        <w:t xml:space="preserve"> Legal Policy Manual, Chapter 2.09. </w:t>
      </w:r>
      <w:r>
        <w:rPr>
          <w:i/>
        </w:rPr>
        <w:t xml:space="preserve">See also </w:t>
      </w:r>
      <w:r>
        <w:t>Penal Code § 17(b)(4) for authority to charge wobblers.</w:t>
      </w:r>
    </w:p>
  </w:footnote>
  <w:footnote w:id="11">
    <w:p w14:paraId="68EFA8D2" w14:textId="13785CB5" w:rsidR="007164EC" w:rsidRDefault="007164EC">
      <w:pPr>
        <w:pStyle w:val="FootnoteText"/>
      </w:pPr>
      <w:r>
        <w:rPr>
          <w:rStyle w:val="FootnoteReference"/>
        </w:rPr>
        <w:footnoteRef/>
      </w:r>
      <w:r>
        <w:t xml:space="preserve"> </w:t>
      </w:r>
      <w:r w:rsidR="003C52C7">
        <w:t xml:space="preserve">Regression analysis of charging decisions of all wobblers based on race and ethnicity </w:t>
      </w:r>
      <w:r w:rsidR="007B2BE2">
        <w:t>would likely</w:t>
      </w:r>
      <w:r w:rsidR="003C52C7">
        <w:t xml:space="preserve"> ascertain the validity of this hypothesis</w:t>
      </w:r>
      <w:r w:rsidR="007B2BE2">
        <w:t>; however, the LADA does not track race or ethnicity in its prosecution data.</w:t>
      </w:r>
    </w:p>
  </w:footnote>
  <w:footnote w:id="12">
    <w:p w14:paraId="656460CE" w14:textId="3B1916BC" w:rsidR="00F07675" w:rsidRDefault="00F07675">
      <w:pPr>
        <w:pStyle w:val="FootnoteText"/>
      </w:pPr>
      <w:r>
        <w:rPr>
          <w:rStyle w:val="FootnoteReference"/>
        </w:rPr>
        <w:footnoteRef/>
      </w:r>
      <w:r>
        <w:t xml:space="preserve"> Legal Policy Manual, Chapter 2.09.04 (multiple defendants) and 2.10.01 (charging special allegations).</w:t>
      </w:r>
    </w:p>
  </w:footnote>
  <w:footnote w:id="13">
    <w:p w14:paraId="65105E03" w14:textId="7ED1DB43" w:rsidR="00DF47CE" w:rsidRDefault="00DF47CE">
      <w:pPr>
        <w:pStyle w:val="FootnoteText"/>
      </w:pPr>
      <w:r>
        <w:rPr>
          <w:rStyle w:val="FootnoteReference"/>
        </w:rPr>
        <w:footnoteRef/>
      </w:r>
      <w:r>
        <w:t xml:space="preserve"> Legal Policy Manual, Chapter 2.09.04.</w:t>
      </w:r>
    </w:p>
  </w:footnote>
  <w:footnote w:id="14">
    <w:p w14:paraId="5512E091" w14:textId="78D6C1C6" w:rsidR="00886A5C" w:rsidRDefault="00886A5C">
      <w:pPr>
        <w:pStyle w:val="FootnoteText"/>
      </w:pPr>
      <w:r>
        <w:rPr>
          <w:rStyle w:val="FootnoteReference"/>
        </w:rPr>
        <w:footnoteRef/>
      </w:r>
      <w:r>
        <w:t xml:space="preserve"> Legal Policy Manual, Chapter 2.10.</w:t>
      </w:r>
    </w:p>
  </w:footnote>
  <w:footnote w:id="15">
    <w:p w14:paraId="7D5F9DA9" w14:textId="3D0C3F4C" w:rsidR="00B03F0E" w:rsidRPr="00B03F0E" w:rsidRDefault="00B03F0E">
      <w:pPr>
        <w:pStyle w:val="FootnoteText"/>
      </w:pPr>
      <w:r>
        <w:rPr>
          <w:rStyle w:val="FootnoteReference"/>
        </w:rPr>
        <w:footnoteRef/>
      </w:r>
      <w:r>
        <w:t xml:space="preserve"> Legal Policy Manual, Chapter 2.10 (</w:t>
      </w:r>
      <w:r>
        <w:rPr>
          <w:i/>
        </w:rPr>
        <w:t xml:space="preserve">See </w:t>
      </w:r>
      <w:r>
        <w:t>“</w:t>
      </w:r>
      <w:r>
        <w:rPr>
          <w:i/>
        </w:rPr>
        <w:t>Commentary</w:t>
      </w:r>
      <w:r>
        <w:t>” section.)</w:t>
      </w:r>
    </w:p>
  </w:footnote>
  <w:footnote w:id="16">
    <w:p w14:paraId="24FC73F5" w14:textId="0AAC1C9C" w:rsidR="00740114" w:rsidRPr="00740114" w:rsidRDefault="00740114">
      <w:pPr>
        <w:pStyle w:val="FootnoteText"/>
      </w:pPr>
      <w:r>
        <w:rPr>
          <w:rStyle w:val="FootnoteReference"/>
        </w:rPr>
        <w:footnoteRef/>
      </w:r>
      <w:r>
        <w:t xml:space="preserve"> Legal Policy Manual, Chapter 2.10 (</w:t>
      </w:r>
      <w:r>
        <w:rPr>
          <w:i/>
        </w:rPr>
        <w:t xml:space="preserve">See </w:t>
      </w:r>
      <w:r>
        <w:t>“</w:t>
      </w:r>
      <w:r>
        <w:rPr>
          <w:i/>
        </w:rPr>
        <w:t>Commentary</w:t>
      </w:r>
      <w:r>
        <w:t>” section.)</w:t>
      </w:r>
    </w:p>
  </w:footnote>
  <w:footnote w:id="17">
    <w:p w14:paraId="5CE5D433" w14:textId="3B9F7BB5" w:rsidR="00C35F9E" w:rsidRPr="00C35F9E" w:rsidRDefault="00C35F9E">
      <w:pPr>
        <w:pStyle w:val="FootnoteText"/>
      </w:pPr>
      <w:r>
        <w:rPr>
          <w:rStyle w:val="FootnoteReference"/>
        </w:rPr>
        <w:footnoteRef/>
      </w:r>
      <w:r>
        <w:t xml:space="preserve"> Legal Policy Manual, Chapter 5. </w:t>
      </w:r>
      <w:r>
        <w:rPr>
          <w:i/>
        </w:rPr>
        <w:t>See</w:t>
      </w:r>
      <w:r>
        <w:t xml:space="preserve"> Penal Code § 4 (“The rule of the common law, that penal statutes are to be strictly construed, has no application to this Code. All its provisions are to be construed according to the fair import of their terms, with a view to effect its objects and to promote justice.”)</w:t>
      </w:r>
    </w:p>
  </w:footnote>
  <w:footnote w:id="18">
    <w:p w14:paraId="111106B1" w14:textId="4A34917F" w:rsidR="00CF58E2" w:rsidRDefault="00CF58E2">
      <w:pPr>
        <w:pStyle w:val="FootnoteText"/>
      </w:pPr>
      <w:r>
        <w:rPr>
          <w:rStyle w:val="FootnoteReference"/>
        </w:rPr>
        <w:footnoteRef/>
      </w:r>
      <w:r>
        <w:t xml:space="preserve"> Legal Policy Manual, Chapter 5.04 (Explaining declination procedures for entering declination information into PIMS and choosing from list of reasons. The list of potential reasons with their declination code for the CA Department of Justice is included under Chapter 5.04.01.)</w:t>
      </w:r>
    </w:p>
  </w:footnote>
  <w:footnote w:id="19">
    <w:p w14:paraId="74E9E2C7" w14:textId="3FEAE2AF" w:rsidR="001549EB" w:rsidRDefault="001549EB">
      <w:pPr>
        <w:pStyle w:val="FootnoteText"/>
      </w:pPr>
      <w:r>
        <w:rPr>
          <w:rStyle w:val="FootnoteReference"/>
        </w:rPr>
        <w:footnoteRef/>
      </w:r>
      <w:r>
        <w:t xml:space="preserve"> Legal Policy Manual, Chapter 10.</w:t>
      </w:r>
    </w:p>
  </w:footnote>
  <w:footnote w:id="20">
    <w:p w14:paraId="19D445C3" w14:textId="76A21D3B" w:rsidR="00F733DE" w:rsidRDefault="00F733DE">
      <w:pPr>
        <w:pStyle w:val="FootnoteText"/>
      </w:pPr>
      <w:r>
        <w:rPr>
          <w:rStyle w:val="FootnoteReference"/>
        </w:rPr>
        <w:footnoteRef/>
      </w:r>
      <w:r>
        <w:t xml:space="preserve"> Legal Policy Manual, Chapter 12.</w:t>
      </w:r>
    </w:p>
  </w:footnote>
  <w:footnote w:id="21">
    <w:p w14:paraId="433B3DDF" w14:textId="4BCE306F" w:rsidR="00F1335A" w:rsidRDefault="00F1335A">
      <w:pPr>
        <w:pStyle w:val="FootnoteText"/>
      </w:pPr>
      <w:r>
        <w:rPr>
          <w:rStyle w:val="FootnoteReference"/>
        </w:rPr>
        <w:footnoteRef/>
      </w:r>
      <w:r>
        <w:t xml:space="preserve"> Legal Policy Manual, Chapter 12.06.</w:t>
      </w:r>
    </w:p>
  </w:footnote>
  <w:footnote w:id="22">
    <w:p w14:paraId="128B879F" w14:textId="6D126670" w:rsidR="004F4518" w:rsidRDefault="004F4518">
      <w:pPr>
        <w:pStyle w:val="FootnoteText"/>
      </w:pPr>
      <w:r>
        <w:rPr>
          <w:rStyle w:val="FootnoteReference"/>
        </w:rPr>
        <w:footnoteRef/>
      </w:r>
      <w:r>
        <w:t xml:space="preserve"> Legal Policy Manual, Chapter 12.07.</w:t>
      </w:r>
    </w:p>
  </w:footnote>
  <w:footnote w:id="23">
    <w:p w14:paraId="7589AFEF" w14:textId="12640BC6" w:rsidR="001E50E4" w:rsidRDefault="001E50E4">
      <w:pPr>
        <w:pStyle w:val="FootnoteText"/>
      </w:pPr>
      <w:r>
        <w:rPr>
          <w:rStyle w:val="FootnoteReference"/>
        </w:rPr>
        <w:footnoteRef/>
      </w:r>
      <w:r>
        <w:t xml:space="preserve"> Legal Policy Manual, Chapter 14.</w:t>
      </w:r>
    </w:p>
  </w:footnote>
  <w:footnote w:id="24">
    <w:p w14:paraId="09158C0A" w14:textId="1041B6D6" w:rsidR="00CA421D" w:rsidRDefault="00CA421D">
      <w:pPr>
        <w:pStyle w:val="FootnoteText"/>
      </w:pPr>
      <w:r>
        <w:rPr>
          <w:rStyle w:val="FootnoteReference"/>
        </w:rPr>
        <w:footnoteRef/>
      </w:r>
      <w:r>
        <w:t xml:space="preserve"> </w:t>
      </w:r>
      <w:r w:rsidRPr="00CA421D">
        <w:t>The LADA refused to provide records, memoranda, and emails related to the creation and development of immigration policy for the office because those documents are considered preliminary draft work product under the “deliberative process privilege.” Gov. Code section 6254(a).</w:t>
      </w:r>
      <w:r>
        <w:t xml:space="preserve"> </w:t>
      </w:r>
    </w:p>
  </w:footnote>
  <w:footnote w:id="25">
    <w:p w14:paraId="7D2B3010" w14:textId="58FF808F" w:rsidR="008D2150" w:rsidRDefault="008D2150">
      <w:pPr>
        <w:pStyle w:val="FootnoteText"/>
      </w:pPr>
      <w:r>
        <w:rPr>
          <w:rStyle w:val="FootnoteReference"/>
        </w:rPr>
        <w:footnoteRef/>
      </w:r>
      <w:r>
        <w:t xml:space="preserve"> Legal Policy Manual Chapters 10.12.01 (misdemeanor case settlement policy) and 12.13.01 (felony case settlement policy).</w:t>
      </w:r>
    </w:p>
  </w:footnote>
  <w:footnote w:id="26">
    <w:p w14:paraId="6B8864C9" w14:textId="35562F5C" w:rsidR="005D6319" w:rsidRDefault="005D6319">
      <w:pPr>
        <w:pStyle w:val="FootnoteText"/>
      </w:pPr>
      <w:r>
        <w:rPr>
          <w:rStyle w:val="FootnoteReference"/>
        </w:rPr>
        <w:footnoteRef/>
      </w:r>
      <w:r>
        <w:t xml:space="preserve"> Legal Policy Manual Chapter 17.01.03 (Cited from Special Directive 18-11 from December 28, 2018 guiding deputies on the impact of AB 2867 amendments to Penal Code Section 1473.7, which took effect on January 1,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C4BEA"/>
    <w:multiLevelType w:val="multilevel"/>
    <w:tmpl w:val="32A41C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40EB4879"/>
    <w:multiLevelType w:val="hybridMultilevel"/>
    <w:tmpl w:val="21B80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381C74"/>
    <w:multiLevelType w:val="hybridMultilevel"/>
    <w:tmpl w:val="7AFC8F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D4E342A"/>
    <w:multiLevelType w:val="hybridMultilevel"/>
    <w:tmpl w:val="D04C70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8D2B59"/>
    <w:multiLevelType w:val="hybridMultilevel"/>
    <w:tmpl w:val="490C9E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78"/>
    <w:rsid w:val="000174FE"/>
    <w:rsid w:val="000506DE"/>
    <w:rsid w:val="0005305D"/>
    <w:rsid w:val="00054AAB"/>
    <w:rsid w:val="000726E6"/>
    <w:rsid w:val="000728A8"/>
    <w:rsid w:val="00077419"/>
    <w:rsid w:val="000A4A4B"/>
    <w:rsid w:val="000B26FD"/>
    <w:rsid w:val="000C4EA2"/>
    <w:rsid w:val="000F26A9"/>
    <w:rsid w:val="000F445C"/>
    <w:rsid w:val="000F7BBF"/>
    <w:rsid w:val="0010540D"/>
    <w:rsid w:val="00111BE5"/>
    <w:rsid w:val="00117C3F"/>
    <w:rsid w:val="0012106C"/>
    <w:rsid w:val="001366F5"/>
    <w:rsid w:val="00140807"/>
    <w:rsid w:val="001549EB"/>
    <w:rsid w:val="0015610A"/>
    <w:rsid w:val="00161D7E"/>
    <w:rsid w:val="001720D2"/>
    <w:rsid w:val="0017244F"/>
    <w:rsid w:val="00172E44"/>
    <w:rsid w:val="00196148"/>
    <w:rsid w:val="001E50E4"/>
    <w:rsid w:val="001F24C3"/>
    <w:rsid w:val="002036DB"/>
    <w:rsid w:val="00211A2B"/>
    <w:rsid w:val="00215DD4"/>
    <w:rsid w:val="00226C6E"/>
    <w:rsid w:val="00231310"/>
    <w:rsid w:val="00235DC6"/>
    <w:rsid w:val="00242CB1"/>
    <w:rsid w:val="00246541"/>
    <w:rsid w:val="00253E07"/>
    <w:rsid w:val="00255173"/>
    <w:rsid w:val="00277BA7"/>
    <w:rsid w:val="0028747E"/>
    <w:rsid w:val="0029660F"/>
    <w:rsid w:val="002B001A"/>
    <w:rsid w:val="002C4795"/>
    <w:rsid w:val="00306B87"/>
    <w:rsid w:val="003133D1"/>
    <w:rsid w:val="00325ED1"/>
    <w:rsid w:val="0033379F"/>
    <w:rsid w:val="00365EA9"/>
    <w:rsid w:val="003A28E8"/>
    <w:rsid w:val="003A5858"/>
    <w:rsid w:val="003C52C7"/>
    <w:rsid w:val="003D31E4"/>
    <w:rsid w:val="003D5A4F"/>
    <w:rsid w:val="003E0865"/>
    <w:rsid w:val="003E34C0"/>
    <w:rsid w:val="003E7FF0"/>
    <w:rsid w:val="003F4AE0"/>
    <w:rsid w:val="00406C55"/>
    <w:rsid w:val="00423478"/>
    <w:rsid w:val="00431FED"/>
    <w:rsid w:val="00441D02"/>
    <w:rsid w:val="00452FE1"/>
    <w:rsid w:val="004652DB"/>
    <w:rsid w:val="00487430"/>
    <w:rsid w:val="004977CD"/>
    <w:rsid w:val="004B4184"/>
    <w:rsid w:val="004B6D2B"/>
    <w:rsid w:val="004F4518"/>
    <w:rsid w:val="0050676E"/>
    <w:rsid w:val="0052326B"/>
    <w:rsid w:val="00531EA0"/>
    <w:rsid w:val="00546B30"/>
    <w:rsid w:val="00561CFA"/>
    <w:rsid w:val="00562860"/>
    <w:rsid w:val="00562A69"/>
    <w:rsid w:val="0057064F"/>
    <w:rsid w:val="005716AA"/>
    <w:rsid w:val="00586CDF"/>
    <w:rsid w:val="0059229F"/>
    <w:rsid w:val="00597C27"/>
    <w:rsid w:val="005A3077"/>
    <w:rsid w:val="005A5242"/>
    <w:rsid w:val="005A559F"/>
    <w:rsid w:val="005B04F2"/>
    <w:rsid w:val="005B16A0"/>
    <w:rsid w:val="005D1CFF"/>
    <w:rsid w:val="005D230A"/>
    <w:rsid w:val="005D6319"/>
    <w:rsid w:val="005E0A06"/>
    <w:rsid w:val="00615645"/>
    <w:rsid w:val="0062623C"/>
    <w:rsid w:val="00634EEA"/>
    <w:rsid w:val="006549A2"/>
    <w:rsid w:val="0066594D"/>
    <w:rsid w:val="006C7006"/>
    <w:rsid w:val="007164EC"/>
    <w:rsid w:val="007222F6"/>
    <w:rsid w:val="00740114"/>
    <w:rsid w:val="00757D72"/>
    <w:rsid w:val="00761C85"/>
    <w:rsid w:val="00781720"/>
    <w:rsid w:val="007B2BE2"/>
    <w:rsid w:val="007C08AA"/>
    <w:rsid w:val="007D08BE"/>
    <w:rsid w:val="007E2463"/>
    <w:rsid w:val="007F2ED5"/>
    <w:rsid w:val="00807038"/>
    <w:rsid w:val="00807387"/>
    <w:rsid w:val="00841CE0"/>
    <w:rsid w:val="00860A86"/>
    <w:rsid w:val="00870C36"/>
    <w:rsid w:val="00886A5C"/>
    <w:rsid w:val="008C0921"/>
    <w:rsid w:val="008C44AA"/>
    <w:rsid w:val="008D2150"/>
    <w:rsid w:val="008D4D50"/>
    <w:rsid w:val="008E2C1A"/>
    <w:rsid w:val="00914E36"/>
    <w:rsid w:val="00923431"/>
    <w:rsid w:val="00935303"/>
    <w:rsid w:val="009430C0"/>
    <w:rsid w:val="00991FE0"/>
    <w:rsid w:val="009C030B"/>
    <w:rsid w:val="009C60F6"/>
    <w:rsid w:val="009D11E8"/>
    <w:rsid w:val="009F02AF"/>
    <w:rsid w:val="00A018E0"/>
    <w:rsid w:val="00A10CBB"/>
    <w:rsid w:val="00A34306"/>
    <w:rsid w:val="00A52C85"/>
    <w:rsid w:val="00A6644E"/>
    <w:rsid w:val="00A821B8"/>
    <w:rsid w:val="00A8228D"/>
    <w:rsid w:val="00AB68D4"/>
    <w:rsid w:val="00AD45B5"/>
    <w:rsid w:val="00B02A02"/>
    <w:rsid w:val="00B03894"/>
    <w:rsid w:val="00B03F0E"/>
    <w:rsid w:val="00B07E80"/>
    <w:rsid w:val="00B27508"/>
    <w:rsid w:val="00B364A5"/>
    <w:rsid w:val="00B4504E"/>
    <w:rsid w:val="00B96F22"/>
    <w:rsid w:val="00BE6346"/>
    <w:rsid w:val="00BE7D26"/>
    <w:rsid w:val="00BF70BE"/>
    <w:rsid w:val="00C02F0A"/>
    <w:rsid w:val="00C1546B"/>
    <w:rsid w:val="00C20401"/>
    <w:rsid w:val="00C20D05"/>
    <w:rsid w:val="00C23152"/>
    <w:rsid w:val="00C34B11"/>
    <w:rsid w:val="00C35F9E"/>
    <w:rsid w:val="00C36219"/>
    <w:rsid w:val="00C4643C"/>
    <w:rsid w:val="00C5253D"/>
    <w:rsid w:val="00C54064"/>
    <w:rsid w:val="00C54EED"/>
    <w:rsid w:val="00C5703D"/>
    <w:rsid w:val="00C7704B"/>
    <w:rsid w:val="00C92EA1"/>
    <w:rsid w:val="00CA1BB3"/>
    <w:rsid w:val="00CA3DD3"/>
    <w:rsid w:val="00CA421D"/>
    <w:rsid w:val="00CB28EB"/>
    <w:rsid w:val="00CF1D49"/>
    <w:rsid w:val="00CF4D54"/>
    <w:rsid w:val="00CF58E2"/>
    <w:rsid w:val="00D00EF6"/>
    <w:rsid w:val="00D222E3"/>
    <w:rsid w:val="00DB34EB"/>
    <w:rsid w:val="00DF47CE"/>
    <w:rsid w:val="00DF4FD1"/>
    <w:rsid w:val="00E40F42"/>
    <w:rsid w:val="00E83B96"/>
    <w:rsid w:val="00ED74E0"/>
    <w:rsid w:val="00EF469F"/>
    <w:rsid w:val="00F07675"/>
    <w:rsid w:val="00F1335A"/>
    <w:rsid w:val="00F64603"/>
    <w:rsid w:val="00F70984"/>
    <w:rsid w:val="00F733DE"/>
    <w:rsid w:val="00F962EC"/>
    <w:rsid w:val="00FC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97B2"/>
  <w15:chartTrackingRefBased/>
  <w15:docId w15:val="{D52DA1C0-D623-421A-85E9-97FF040D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4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78"/>
    <w:pPr>
      <w:ind w:left="720"/>
      <w:contextualSpacing/>
    </w:pPr>
  </w:style>
  <w:style w:type="paragraph" w:styleId="Footer">
    <w:name w:val="footer"/>
    <w:basedOn w:val="Normal"/>
    <w:link w:val="FooterChar"/>
    <w:uiPriority w:val="99"/>
    <w:unhideWhenUsed/>
    <w:rsid w:val="00423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478"/>
  </w:style>
  <w:style w:type="table" w:styleId="TableGrid">
    <w:name w:val="Table Grid"/>
    <w:basedOn w:val="TableNormal"/>
    <w:uiPriority w:val="39"/>
    <w:rsid w:val="00523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610A"/>
    <w:rPr>
      <w:sz w:val="16"/>
      <w:szCs w:val="16"/>
    </w:rPr>
  </w:style>
  <w:style w:type="paragraph" w:styleId="CommentText">
    <w:name w:val="annotation text"/>
    <w:basedOn w:val="Normal"/>
    <w:link w:val="CommentTextChar"/>
    <w:uiPriority w:val="99"/>
    <w:semiHidden/>
    <w:unhideWhenUsed/>
    <w:rsid w:val="0015610A"/>
    <w:pPr>
      <w:spacing w:line="240" w:lineRule="auto"/>
    </w:pPr>
  </w:style>
  <w:style w:type="character" w:customStyle="1" w:styleId="CommentTextChar">
    <w:name w:val="Comment Text Char"/>
    <w:basedOn w:val="DefaultParagraphFont"/>
    <w:link w:val="CommentText"/>
    <w:uiPriority w:val="99"/>
    <w:semiHidden/>
    <w:rsid w:val="0015610A"/>
    <w:rPr>
      <w:sz w:val="20"/>
      <w:szCs w:val="20"/>
    </w:rPr>
  </w:style>
  <w:style w:type="paragraph" w:styleId="CommentSubject">
    <w:name w:val="annotation subject"/>
    <w:basedOn w:val="CommentText"/>
    <w:next w:val="CommentText"/>
    <w:link w:val="CommentSubjectChar"/>
    <w:uiPriority w:val="99"/>
    <w:semiHidden/>
    <w:unhideWhenUsed/>
    <w:rsid w:val="0015610A"/>
    <w:rPr>
      <w:b/>
      <w:bCs/>
    </w:rPr>
  </w:style>
  <w:style w:type="character" w:customStyle="1" w:styleId="CommentSubjectChar">
    <w:name w:val="Comment Subject Char"/>
    <w:basedOn w:val="CommentTextChar"/>
    <w:link w:val="CommentSubject"/>
    <w:uiPriority w:val="99"/>
    <w:semiHidden/>
    <w:rsid w:val="0015610A"/>
    <w:rPr>
      <w:b/>
      <w:bCs/>
      <w:sz w:val="20"/>
      <w:szCs w:val="20"/>
    </w:rPr>
  </w:style>
  <w:style w:type="paragraph" w:styleId="BalloonText">
    <w:name w:val="Balloon Text"/>
    <w:basedOn w:val="Normal"/>
    <w:link w:val="BalloonTextChar"/>
    <w:uiPriority w:val="99"/>
    <w:semiHidden/>
    <w:unhideWhenUsed/>
    <w:rsid w:val="00156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10A"/>
    <w:rPr>
      <w:rFonts w:ascii="Segoe UI" w:hAnsi="Segoe UI" w:cs="Segoe UI"/>
      <w:sz w:val="18"/>
      <w:szCs w:val="18"/>
    </w:rPr>
  </w:style>
  <w:style w:type="paragraph" w:styleId="FootnoteText">
    <w:name w:val="footnote text"/>
    <w:basedOn w:val="Normal"/>
    <w:link w:val="FootnoteTextChar"/>
    <w:uiPriority w:val="99"/>
    <w:semiHidden/>
    <w:unhideWhenUsed/>
    <w:rsid w:val="008E2C1A"/>
    <w:pPr>
      <w:spacing w:after="0" w:line="240" w:lineRule="auto"/>
    </w:pPr>
  </w:style>
  <w:style w:type="character" w:customStyle="1" w:styleId="FootnoteTextChar">
    <w:name w:val="Footnote Text Char"/>
    <w:basedOn w:val="DefaultParagraphFont"/>
    <w:link w:val="FootnoteText"/>
    <w:uiPriority w:val="99"/>
    <w:semiHidden/>
    <w:rsid w:val="008E2C1A"/>
    <w:rPr>
      <w:sz w:val="20"/>
      <w:szCs w:val="20"/>
    </w:rPr>
  </w:style>
  <w:style w:type="character" w:styleId="FootnoteReference">
    <w:name w:val="footnote reference"/>
    <w:basedOn w:val="DefaultParagraphFont"/>
    <w:uiPriority w:val="99"/>
    <w:semiHidden/>
    <w:unhideWhenUsed/>
    <w:rsid w:val="008E2C1A"/>
    <w:rPr>
      <w:vertAlign w:val="superscript"/>
    </w:rPr>
  </w:style>
  <w:style w:type="character" w:styleId="Hyperlink">
    <w:name w:val="Hyperlink"/>
    <w:basedOn w:val="DefaultParagraphFont"/>
    <w:uiPriority w:val="99"/>
    <w:unhideWhenUsed/>
    <w:rsid w:val="008D4D50"/>
    <w:rPr>
      <w:color w:val="0000FF"/>
      <w:u w:val="single"/>
    </w:rPr>
  </w:style>
  <w:style w:type="character" w:styleId="UnresolvedMention">
    <w:name w:val="Unresolved Mention"/>
    <w:basedOn w:val="DefaultParagraphFont"/>
    <w:uiPriority w:val="99"/>
    <w:semiHidden/>
    <w:unhideWhenUsed/>
    <w:rsid w:val="00562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31942">
      <w:bodyDiv w:val="1"/>
      <w:marLeft w:val="0"/>
      <w:marRight w:val="0"/>
      <w:marTop w:val="0"/>
      <w:marBottom w:val="0"/>
      <w:divBdr>
        <w:top w:val="none" w:sz="0" w:space="0" w:color="auto"/>
        <w:left w:val="none" w:sz="0" w:space="0" w:color="auto"/>
        <w:bottom w:val="none" w:sz="0" w:space="0" w:color="auto"/>
        <w:right w:val="none" w:sz="0" w:space="0" w:color="auto"/>
      </w:divBdr>
    </w:div>
    <w:div w:id="17438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a.co.la.ca.us/about/mission-statement" TargetMode="External"/><Relationship Id="rId2" Type="http://schemas.openxmlformats.org/officeDocument/2006/relationships/hyperlink" Target="http://www.brooklynda.org/2019/04/17/brooklyn-district-attorney-eric-gonzalez-announces-dedicated-post-conviction-justice-bureau-that-will-include-parole-and-clemency-unit-sealing-unit-and-nationally-recognized-conviction-review-unit/" TargetMode="External"/><Relationship Id="rId1" Type="http://schemas.openxmlformats.org/officeDocument/2006/relationships/hyperlink" Target="http://leginfo.legislature.ca.gov/faces/codes_displayText.xhtml?lawCode=PEN&amp;division=&amp;title=7.&amp;part=1.&amp;chapter=11.&amp;article=" TargetMode="External"/><Relationship Id="rId5" Type="http://schemas.openxmlformats.org/officeDocument/2006/relationships/hyperlink" Target="http://da.co.la.ca.us/sites/default/files/pdf/Org-chart-0119.pdf" TargetMode="External"/><Relationship Id="rId4" Type="http://schemas.openxmlformats.org/officeDocument/2006/relationships/hyperlink" Target="http://da.co.la.ca.us/sites/default/files/pdf/Org-chart-01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D4812-69AE-4203-8956-BA57156C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3443</TotalTime>
  <Pages>11</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Zachariah Oquenda</dc:creator>
  <cp:keywords/>
  <dc:description/>
  <cp:lastModifiedBy>Zachariah Oquenda</cp:lastModifiedBy>
  <cp:revision>123</cp:revision>
  <dcterms:created xsi:type="dcterms:W3CDTF">2019-07-02T16:59:00Z</dcterms:created>
  <dcterms:modified xsi:type="dcterms:W3CDTF">2019-07-12T20:00:00Z</dcterms:modified>
</cp:coreProperties>
</file>