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Track II — companion essay</w:t>
      </w:r>
    </w:p>
    <w:p>
      <w:pPr>
        <w:spacing w:after="340"/>
      </w:pPr>
      <w:r>
        <w:rPr>
          <w:color w:val="6E6B63"/>
          <w:sz w:val="20"/>
          <w:szCs w:val="20"/>
        </w:rPr>
        <w:t xml:space="preserve">Working draft · evidence assembled from 319 live negotiations</w:t>
      </w:r>
    </w:p>
    <w:p>
      <w:pPr>
        <w:pStyle w:val="Heading1"/>
      </w:pPr>
      <w:r>
        <w:t xml:space="preserve">The finding to lead with</w:t>
      </w:r>
    </w:p>
    <w:p>
      <w:r>
        <w:t xml:space="preserve">Frontier models fail at statecraft negotiation not by being outmaneuvered, but by failing to close — and no static benchmark will show you that.</w:t>
      </w:r>
    </w:p>
    <w:p>
      <w:pPr>
        <w:spacing w:after="220" w:before="100"/>
        <w:ind w:left="120"/>
      </w:pPr>
      <w:r>
        <w:rPr>
          <w:i/>
          <w:iCs/>
          <w:color w:val="8A6A2A"/>
          <w:sz w:val="19"/>
          <w:szCs w:val="19"/>
        </w:rPr>
        <w:t xml:space="preserve">→  Open with the concrete failure, not the apparatus. The reader needs to see a model walk away from a deal it wanted before they care how you measured it.</w:t>
      </w:r>
    </w:p>
    <w:p>
      <w:pPr>
        <w:pStyle w:val="Heading1"/>
      </w:pPr>
      <w:r>
        <w:t xml:space="preserve">What the numbers say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300"/>
      </w:tblGrid>
      <w:tr>
        <w:trPr>
          <w:tblHeader/>
        </w:trPr>
        <w:tc>
          <w:tcPr>
            <w:tcW w:type="dxa" w:w="2600"/>
            <w:shd w:fill="F0EEE7" w:val="clear"/>
            <w:tcMar>
              <w:top w:type="dxa" w:w="60"/>
              <w:left w:type="dxa" w:w="110"/>
              <w:bottom w:type="dxa" w:w="60"/>
              <w:right w:type="dxa" w:w="110"/>
            </w:tcMar>
          </w:tcPr>
          <w:p>
            <w:r>
              <w:rPr>
                <w:b/>
                <w:bCs/>
                <w:sz w:val="19"/>
                <w:szCs w:val="19"/>
              </w:rPr>
              <w:t xml:space="preserve">Measure</w:t>
            </w:r>
          </w:p>
        </w:tc>
        <w:tc>
          <w:tcPr>
            <w:tcW w:type="dxa" w:w="1700"/>
            <w:shd w:fill="F0EEE7" w:val="clear"/>
            <w:tcMar>
              <w:top w:type="dxa" w:w="60"/>
              <w:left w:type="dxa" w:w="110"/>
              <w:bottom w:type="dxa" w:w="60"/>
              <w:right w:type="dxa" w:w="110"/>
            </w:tcMar>
          </w:tcPr>
          <w:p>
            <w:r>
              <w:rPr>
                <w:b/>
                <w:bCs/>
                <w:sz w:val="19"/>
                <w:szCs w:val="19"/>
              </w:rPr>
              <w:t xml:space="preserve">Result</w:t>
            </w:r>
          </w:p>
        </w:tc>
        <w:tc>
          <w:tcPr>
            <w:tcW w:type="dxa" w:w="4300"/>
            <w:shd w:fill="F0EEE7" w:val="clear"/>
            <w:tcMar>
              <w:top w:type="dxa" w:w="60"/>
              <w:left w:type="dxa" w:w="110"/>
              <w:bottom w:type="dxa" w:w="60"/>
              <w:right w:type="dxa" w:w="110"/>
            </w:tcMar>
          </w:tcPr>
          <w:p>
            <w:r>
              <w:rPr>
                <w:b/>
                <w:bCs/>
                <w:sz w:val="19"/>
                <w:szCs w:val="19"/>
              </w:rPr>
              <w:t xml:space="preserve">Why it matters</w:t>
            </w:r>
          </w:p>
        </w:tc>
      </w:tr>
      <w:tr>
        <w:trPr>
          <w:tblHeader w:val="false"/>
        </w:trPr>
        <w:tc>
          <w:tcPr>
            <w:tcW w:type="dxa" w:w="2600"/>
            <w:tcMar>
              <w:top w:type="dxa" w:w="60"/>
              <w:left w:type="dxa" w:w="110"/>
              <w:bottom w:type="dxa" w:w="60"/>
              <w:right w:type="dxa" w:w="110"/>
            </w:tcMar>
          </w:tcPr>
          <w:p>
            <w:r>
              <w:rPr>
                <w:b w:val="false"/>
                <w:bCs w:val="false"/>
                <w:sz w:val="19"/>
                <w:szCs w:val="19"/>
              </w:rPr>
              <w:t xml:space="preserve">Below-BATNA acceptance</w:t>
            </w:r>
          </w:p>
        </w:tc>
        <w:tc>
          <w:tcPr>
            <w:tcW w:type="dxa" w:w="1700"/>
            <w:tcMar>
              <w:top w:type="dxa" w:w="60"/>
              <w:left w:type="dxa" w:w="110"/>
              <w:bottom w:type="dxa" w:w="60"/>
              <w:right w:type="dxa" w:w="110"/>
            </w:tcMar>
          </w:tcPr>
          <w:p>
            <w:r>
              <w:rPr>
                <w:b w:val="false"/>
                <w:bCs w:val="false"/>
                <w:sz w:val="19"/>
                <w:szCs w:val="19"/>
              </w:rPr>
              <w:t xml:space="preserve">0.9%  (3/319)</w:t>
            </w:r>
          </w:p>
        </w:tc>
        <w:tc>
          <w:tcPr>
            <w:tcW w:type="dxa" w:w="4300"/>
            <w:tcMar>
              <w:top w:type="dxa" w:w="60"/>
              <w:left w:type="dxa" w:w="110"/>
              <w:bottom w:type="dxa" w:w="60"/>
              <w:right w:type="dxa" w:w="110"/>
            </w:tcMar>
          </w:tcPr>
          <w:p>
            <w:r>
              <w:rPr>
                <w:b w:val="false"/>
                <w:bCs w:val="false"/>
                <w:sz w:val="19"/>
                <w:szCs w:val="19"/>
              </w:rPr>
              <w:t xml:space="preserve">They almost never sign something worse than walking away</w:t>
            </w:r>
          </w:p>
        </w:tc>
      </w:tr>
      <w:tr>
        <w:trPr>
          <w:tblHeader w:val="false"/>
        </w:trPr>
        <w:tc>
          <w:tcPr>
            <w:tcW w:type="dxa" w:w="2600"/>
            <w:tcMar>
              <w:top w:type="dxa" w:w="60"/>
              <w:left w:type="dxa" w:w="110"/>
              <w:bottom w:type="dxa" w:w="60"/>
              <w:right w:type="dxa" w:w="110"/>
            </w:tcMar>
          </w:tcPr>
          <w:p>
            <w:r>
              <w:rPr>
                <w:b w:val="false"/>
                <w:bCs w:val="false"/>
                <w:sz w:val="19"/>
                <w:szCs w:val="19"/>
              </w:rPr>
              <w:t xml:space="preserve">Impasse despite a ZOPA</w:t>
            </w:r>
          </w:p>
        </w:tc>
        <w:tc>
          <w:tcPr>
            <w:tcW w:type="dxa" w:w="1700"/>
            <w:tcMar>
              <w:top w:type="dxa" w:w="60"/>
              <w:left w:type="dxa" w:w="110"/>
              <w:bottom w:type="dxa" w:w="60"/>
              <w:right w:type="dxa" w:w="110"/>
            </w:tcMar>
          </w:tcPr>
          <w:p>
            <w:r>
              <w:rPr>
                <w:b w:val="false"/>
                <w:bCs w:val="false"/>
                <w:sz w:val="19"/>
                <w:szCs w:val="19"/>
              </w:rPr>
              <w:t xml:space="preserve">34%  (108/319)</w:t>
            </w:r>
          </w:p>
        </w:tc>
        <w:tc>
          <w:tcPr>
            <w:tcW w:type="dxa" w:w="4300"/>
            <w:tcMar>
              <w:top w:type="dxa" w:w="60"/>
              <w:left w:type="dxa" w:w="110"/>
              <w:bottom w:type="dxa" w:w="60"/>
              <w:right w:type="dxa" w:w="110"/>
            </w:tcMar>
          </w:tcPr>
          <w:p>
            <w:r>
              <w:rPr>
                <w:b w:val="false"/>
                <w:bCs w:val="false"/>
                <w:sz w:val="19"/>
                <w:szCs w:val="19"/>
              </w:rPr>
              <w:t xml:space="preserve">They abandon mutually-beneficial deals a third of the time</w:t>
            </w:r>
          </w:p>
        </w:tc>
      </w:tr>
      <w:tr>
        <w:trPr>
          <w:tblHeader w:val="false"/>
        </w:trPr>
        <w:tc>
          <w:tcPr>
            <w:tcW w:type="dxa" w:w="2600"/>
            <w:tcMar>
              <w:top w:type="dxa" w:w="60"/>
              <w:left w:type="dxa" w:w="110"/>
              <w:bottom w:type="dxa" w:w="60"/>
              <w:right w:type="dxa" w:w="110"/>
            </w:tcMar>
          </w:tcPr>
          <w:p>
            <w:r>
              <w:rPr>
                <w:b w:val="false"/>
                <w:bCs w:val="false"/>
                <w:sz w:val="19"/>
                <w:szCs w:val="19"/>
              </w:rPr>
              <w:t xml:space="preserve">Efficiency when closed</w:t>
            </w:r>
          </w:p>
        </w:tc>
        <w:tc>
          <w:tcPr>
            <w:tcW w:type="dxa" w:w="1700"/>
            <w:tcMar>
              <w:top w:type="dxa" w:w="60"/>
              <w:left w:type="dxa" w:w="110"/>
              <w:bottom w:type="dxa" w:w="60"/>
              <w:right w:type="dxa" w:w="110"/>
            </w:tcMar>
          </w:tcPr>
          <w:p>
            <w:r>
              <w:rPr>
                <w:b w:val="false"/>
                <w:bCs w:val="false"/>
                <w:sz w:val="19"/>
                <w:szCs w:val="19"/>
              </w:rPr>
              <w:t xml:space="preserve">88.6%</w:t>
            </w:r>
          </w:p>
        </w:tc>
        <w:tc>
          <w:tcPr>
            <w:tcW w:type="dxa" w:w="4300"/>
            <w:tcMar>
              <w:top w:type="dxa" w:w="60"/>
              <w:left w:type="dxa" w:w="110"/>
              <w:bottom w:type="dxa" w:w="60"/>
              <w:right w:type="dxa" w:w="110"/>
            </w:tcMar>
          </w:tcPr>
          <w:p>
            <w:r>
              <w:rPr>
                <w:b w:val="false"/>
                <w:bCs w:val="false"/>
                <w:sz w:val="19"/>
                <w:szCs w:val="19"/>
              </w:rPr>
              <w:t xml:space="preserve">When they close, they are near the frontier</w:t>
            </w:r>
          </w:p>
        </w:tc>
      </w:tr>
      <w:tr>
        <w:trPr>
          <w:tblHeader w:val="false"/>
        </w:trPr>
        <w:tc>
          <w:tcPr>
            <w:tcW w:type="dxa" w:w="2600"/>
            <w:tcMar>
              <w:top w:type="dxa" w:w="60"/>
              <w:left w:type="dxa" w:w="110"/>
              <w:bottom w:type="dxa" w:w="60"/>
              <w:right w:type="dxa" w:w="110"/>
            </w:tcMar>
          </w:tcPr>
          <w:p>
            <w:r>
              <w:rPr>
                <w:b w:val="false"/>
                <w:bCs w:val="false"/>
                <w:sz w:val="19"/>
                <w:szCs w:val="19"/>
              </w:rPr>
              <w:t xml:space="preserve">Value forgone per deal</w:t>
            </w:r>
          </w:p>
        </w:tc>
        <w:tc>
          <w:tcPr>
            <w:tcW w:type="dxa" w:w="1700"/>
            <w:tcMar>
              <w:top w:type="dxa" w:w="60"/>
              <w:left w:type="dxa" w:w="110"/>
              <w:bottom w:type="dxa" w:w="60"/>
              <w:right w:type="dxa" w:w="110"/>
            </w:tcMar>
          </w:tcPr>
          <w:p>
            <w:r>
              <w:rPr>
                <w:b w:val="false"/>
                <w:bCs w:val="false"/>
                <w:sz w:val="19"/>
                <w:szCs w:val="19"/>
              </w:rPr>
              <w:t xml:space="preserve">18.3 points</w:t>
            </w:r>
          </w:p>
        </w:tc>
        <w:tc>
          <w:tcPr>
            <w:tcW w:type="dxa" w:w="4300"/>
            <w:tcMar>
              <w:top w:type="dxa" w:w="60"/>
              <w:left w:type="dxa" w:w="110"/>
              <w:bottom w:type="dxa" w:w="60"/>
              <w:right w:type="dxa" w:w="110"/>
            </w:tcMar>
          </w:tcPr>
          <w:p>
            <w:r>
              <w:rPr>
                <w:b w:val="false"/>
                <w:bCs w:val="false"/>
                <w:sz w:val="19"/>
                <w:szCs w:val="19"/>
              </w:rPr>
              <w:t xml:space="preserve"/>
            </w:r>
          </w:p>
        </w:tc>
      </w:tr>
      <w:tr>
        <w:trPr>
          <w:tblHeader w:val="false"/>
        </w:trPr>
        <w:tc>
          <w:tcPr>
            <w:tcW w:type="dxa" w:w="2600"/>
            <w:tcMar>
              <w:top w:type="dxa" w:w="60"/>
              <w:left w:type="dxa" w:w="110"/>
              <w:bottom w:type="dxa" w:w="60"/>
              <w:right w:type="dxa" w:w="110"/>
            </w:tcMar>
          </w:tcPr>
          <w:p>
            <w:r>
              <w:rPr>
                <w:b w:val="false"/>
                <w:bCs w:val="false"/>
                <w:sz w:val="19"/>
                <w:szCs w:val="19"/>
              </w:rPr>
              <w:t xml:space="preserve">Solved-game control</w:t>
            </w:r>
          </w:p>
        </w:tc>
        <w:tc>
          <w:tcPr>
            <w:tcW w:type="dxa" w:w="1700"/>
            <w:tcMar>
              <w:top w:type="dxa" w:w="60"/>
              <w:left w:type="dxa" w:w="110"/>
              <w:bottom w:type="dxa" w:w="60"/>
              <w:right w:type="dxa" w:w="110"/>
            </w:tcMar>
          </w:tcPr>
          <w:p>
            <w:r>
              <w:rPr>
                <w:b w:val="false"/>
                <w:bCs w:val="false"/>
                <w:sz w:val="19"/>
                <w:szCs w:val="19"/>
              </w:rPr>
              <w:t xml:space="preserve">47/48</w:t>
            </w:r>
          </w:p>
        </w:tc>
        <w:tc>
          <w:tcPr>
            <w:tcW w:type="dxa" w:w="4300"/>
            <w:tcMar>
              <w:top w:type="dxa" w:w="60"/>
              <w:left w:type="dxa" w:w="110"/>
              <w:bottom w:type="dxa" w:w="60"/>
              <w:right w:type="dxa" w:w="110"/>
            </w:tcMar>
          </w:tcPr>
          <w:p>
            <w:r>
              <w:rPr>
                <w:b w:val="false"/>
                <w:bCs w:val="false"/>
                <w:sz w:val="19"/>
                <w:szCs w:val="19"/>
              </w:rPr>
              <w:t xml:space="preserve">So it is not a reasoning-capacity ceiling</w:t>
            </w:r>
          </w:p>
        </w:tc>
      </w:tr>
    </w:tbl>
    <w:p>
      <w:pPr>
        <w:spacing w:after="220" w:before="100"/>
        <w:ind w:left="120"/>
      </w:pPr>
      <w:r>
        <w:rPr>
          <w:i/>
          <w:iCs/>
          <w:color w:val="8A6A2A"/>
          <w:sz w:val="19"/>
          <w:szCs w:val="19"/>
        </w:rPr>
        <w:t xml:space="preserve">→  The control is the load-bearing number. Without 47/48 on the battery, a sceptic reads the 34% as 'the models are just bad at this'.</w:t>
      </w:r>
    </w:p>
    <w:p>
      <w:pPr>
        <w:pStyle w:val="Heading1"/>
      </w:pPr>
      <w:r>
        <w:t xml:space="preserve">Talking gets them to a deal, not to a better deal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600"/>
      </w:tblGrid>
      <w:tr>
        <w:trPr>
          <w:tblHeader/>
        </w:trPr>
        <w:tc>
          <w:tcPr>
            <w:tcW w:type="dxa" w:w="3400"/>
            <w:shd w:fill="F0EEE7" w:val="clear"/>
            <w:tcMar>
              <w:top w:type="dxa" w:w="60"/>
              <w:left w:type="dxa" w:w="110"/>
              <w:bottom w:type="dxa" w:w="60"/>
              <w:right w:type="dxa" w:w="110"/>
            </w:tcMar>
          </w:tcPr>
          <w:p>
            <w:r>
              <w:rPr>
                <w:b/>
                <w:bCs/>
                <w:sz w:val="19"/>
                <w:szCs w:val="19"/>
              </w:rPr>
              <w:t xml:space="preserve">Condition</w:t>
            </w:r>
          </w:p>
        </w:tc>
        <w:tc>
          <w:tcPr>
            <w:tcW w:type="dxa" w:w="2600"/>
            <w:shd w:fill="F0EEE7" w:val="clear"/>
            <w:tcMar>
              <w:top w:type="dxa" w:w="60"/>
              <w:left w:type="dxa" w:w="110"/>
              <w:bottom w:type="dxa" w:w="60"/>
              <w:right w:type="dxa" w:w="110"/>
            </w:tcMar>
          </w:tcPr>
          <w:p>
            <w:r>
              <w:rPr>
                <w:b/>
                <w:bCs/>
                <w:sz w:val="19"/>
                <w:szCs w:val="19"/>
              </w:rPr>
              <w:t xml:space="preserve">Deal rate</w:t>
            </w:r>
          </w:p>
        </w:tc>
        <w:tc>
          <w:tcPr>
            <w:tcW w:type="dxa" w:w="2600"/>
            <w:shd w:fill="F0EEE7" w:val="clear"/>
            <w:tcMar>
              <w:top w:type="dxa" w:w="60"/>
              <w:left w:type="dxa" w:w="110"/>
              <w:bottom w:type="dxa" w:w="60"/>
              <w:right w:type="dxa" w:w="110"/>
            </w:tcMar>
          </w:tcPr>
          <w:p>
            <w:r>
              <w:rPr>
                <w:b/>
                <w:bCs/>
                <w:sz w:val="19"/>
                <w:szCs w:val="19"/>
              </w:rPr>
              <w:t xml:space="preserve">Efficiency</w:t>
            </w:r>
          </w:p>
        </w:tc>
      </w:tr>
      <w:tr>
        <w:trPr>
          <w:tblHeader w:val="false"/>
        </w:trPr>
        <w:tc>
          <w:tcPr>
            <w:tcW w:type="dxa" w:w="3400"/>
            <w:tcMar>
              <w:top w:type="dxa" w:w="60"/>
              <w:left w:type="dxa" w:w="110"/>
              <w:bottom w:type="dxa" w:w="60"/>
              <w:right w:type="dxa" w:w="110"/>
            </w:tcMar>
          </w:tcPr>
          <w:p>
            <w:r>
              <w:rPr>
                <w:b w:val="false"/>
                <w:bCs w:val="false"/>
                <w:sz w:val="19"/>
                <w:szCs w:val="19"/>
              </w:rPr>
              <w:t xml:space="preserve">With dialogue</w:t>
            </w:r>
          </w:p>
        </w:tc>
        <w:tc>
          <w:tcPr>
            <w:tcW w:type="dxa" w:w="2600"/>
            <w:tcMar>
              <w:top w:type="dxa" w:w="60"/>
              <w:left w:type="dxa" w:w="110"/>
              <w:bottom w:type="dxa" w:w="60"/>
              <w:right w:type="dxa" w:w="110"/>
            </w:tcMar>
          </w:tcPr>
          <w:p>
            <w:r>
              <w:rPr>
                <w:b w:val="false"/>
                <w:bCs w:val="false"/>
                <w:sz w:val="19"/>
                <w:szCs w:val="19"/>
              </w:rPr>
              <w:t xml:space="preserve">60–70%</w:t>
            </w:r>
          </w:p>
        </w:tc>
        <w:tc>
          <w:tcPr>
            <w:tcW w:type="dxa" w:w="2600"/>
            <w:tcMar>
              <w:top w:type="dxa" w:w="60"/>
              <w:left w:type="dxa" w:w="110"/>
              <w:bottom w:type="dxa" w:w="60"/>
              <w:right w:type="dxa" w:w="110"/>
            </w:tcMar>
          </w:tcPr>
          <w:p>
            <w:r>
              <w:rPr>
                <w:b w:val="false"/>
                <w:bCs w:val="false"/>
                <w:sz w:val="19"/>
                <w:szCs w:val="19"/>
              </w:rPr>
              <w:t xml:space="preserve">89–94%</w:t>
            </w:r>
          </w:p>
        </w:tc>
      </w:tr>
      <w:tr>
        <w:trPr>
          <w:tblHeader w:val="false"/>
        </w:trPr>
        <w:tc>
          <w:tcPr>
            <w:tcW w:type="dxa" w:w="3400"/>
            <w:tcMar>
              <w:top w:type="dxa" w:w="60"/>
              <w:left w:type="dxa" w:w="110"/>
              <w:bottom w:type="dxa" w:w="60"/>
              <w:right w:type="dxa" w:w="110"/>
            </w:tcMar>
          </w:tcPr>
          <w:p>
            <w:r>
              <w:rPr>
                <w:b w:val="false"/>
                <w:bCs w:val="false"/>
                <w:sz w:val="19"/>
                <w:szCs w:val="19"/>
              </w:rPr>
              <w:t xml:space="preserve">No communication at all</w:t>
            </w:r>
          </w:p>
        </w:tc>
        <w:tc>
          <w:tcPr>
            <w:tcW w:type="dxa" w:w="2600"/>
            <w:tcMar>
              <w:top w:type="dxa" w:w="60"/>
              <w:left w:type="dxa" w:w="110"/>
              <w:bottom w:type="dxa" w:w="60"/>
              <w:right w:type="dxa" w:w="110"/>
            </w:tcMar>
          </w:tcPr>
          <w:p>
            <w:r>
              <w:rPr>
                <w:b w:val="false"/>
                <w:bCs w:val="false"/>
                <w:sz w:val="19"/>
                <w:szCs w:val="19"/>
              </w:rPr>
              <w:t xml:space="preserve">30–40%</w:t>
            </w:r>
          </w:p>
        </w:tc>
        <w:tc>
          <w:tcPr>
            <w:tcW w:type="dxa" w:w="2600"/>
            <w:tcMar>
              <w:top w:type="dxa" w:w="60"/>
              <w:left w:type="dxa" w:w="110"/>
              <w:bottom w:type="dxa" w:w="60"/>
              <w:right w:type="dxa" w:w="110"/>
            </w:tcMar>
          </w:tcPr>
          <w:p>
            <w:r>
              <w:rPr>
                <w:b w:val="false"/>
                <w:bCs w:val="false"/>
                <w:sz w:val="19"/>
                <w:szCs w:val="19"/>
              </w:rPr>
              <w:t xml:space="preserve">85–93%</w:t>
            </w:r>
          </w:p>
        </w:tc>
      </w:tr>
    </w:tbl>
    <w:p>
      <w:r>
        <w:t xml:space="preserve">Removing dialogue roughly halves the deal rate and barely moves efficiency. The failure is coordination, not optimisation.</w:t>
      </w:r>
    </w:p>
    <w:p>
      <w:pPr>
        <w:spacing w:after="220" w:before="100"/>
        <w:ind w:left="120"/>
      </w:pPr>
      <w:r>
        <w:rPr>
          <w:i/>
          <w:iCs/>
          <w:color w:val="8A6A2A"/>
          <w:sz w:val="19"/>
          <w:szCs w:val="19"/>
        </w:rPr>
        <w:t xml:space="preserve">→  This is the ablation the Abdelnabi reproductions demanded. Say plainly that the benchmark survives its own null test — most don't.</w:t>
      </w:r>
    </w:p>
    <w:p>
      <w:pPr>
        <w:pStyle w:val="Heading1"/>
      </w:pPr>
      <w:r>
        <w:t xml:space="preserve">They don't keep secrets, and it doesn't help them</w:t>
      </w:r>
    </w:p>
    <w:p>
      <w:r>
        <w:t xml:space="preserve">Both sides volunteered their private reservation value in 75% of negotiations. Audited: zero pre-disclosure citations, so nothing leaked — they chose to tell. It did not help. 58% agreement where both disclosed, against 64% where neither did.</w:t>
      </w:r>
    </w:p>
    <w:p>
      <w:pPr>
        <w:spacing w:after="220" w:before="100"/>
        <w:ind w:left="120"/>
      </w:pPr>
      <w:r>
        <w:rPr>
          <w:i/>
          <w:iCs/>
          <w:color w:val="8A6A2A"/>
          <w:sz w:val="19"/>
          <w:szCs w:val="19"/>
        </w:rPr>
        <w:t xml:space="preserve">→  For a policy reader this is the most actionable line in the piece. An LLM told a number is confidential will announce it. Any deployment assuming information discipline has to test for this.</w:t>
      </w:r>
    </w:p>
    <w:p>
      <w:pPr>
        <w:pStyle w:val="Heading1"/>
      </w:pPr>
      <w:r>
        <w:t xml:space="preserve">Framing changes what they think they are doing</w:t>
      </w:r>
    </w:p>
    <w:p>
      <w:r>
        <w:t xml:space="preserve">Efficiency was flat across all four framings — 84–94%, no consistent direction. That reads as a null result. The transcripts say otherwise.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200"/>
        <w:gridCol w:w="3400"/>
      </w:tblGrid>
      <w:tr>
        <w:trPr>
          <w:tblHeader/>
        </w:trPr>
        <w:tc>
          <w:tcPr>
            <w:tcW w:type="dxa" w:w="5200"/>
            <w:shd w:fill="F0EEE7" w:val="clear"/>
            <w:tcMar>
              <w:top w:type="dxa" w:w="60"/>
              <w:left w:type="dxa" w:w="110"/>
              <w:bottom w:type="dxa" w:w="60"/>
              <w:right w:type="dxa" w:w="110"/>
            </w:tcMar>
          </w:tcPr>
          <w:p>
            <w:r>
              <w:rPr>
                <w:b/>
                <w:bCs/>
                <w:sz w:val="19"/>
                <w:szCs w:val="19"/>
              </w:rPr>
              <w:t xml:space="preserve">Framing</w:t>
            </w:r>
          </w:p>
        </w:tc>
        <w:tc>
          <w:tcPr>
            <w:tcW w:type="dxa" w:w="3400"/>
            <w:shd w:fill="F0EEE7" w:val="clear"/>
            <w:tcMar>
              <w:top w:type="dxa" w:w="60"/>
              <w:left w:type="dxa" w:w="110"/>
              <w:bottom w:type="dxa" w:w="60"/>
              <w:right w:type="dxa" w:w="110"/>
            </w:tcMar>
          </w:tcPr>
          <w:p>
            <w:r>
              <w:rPr>
                <w:b/>
                <w:bCs/>
                <w:sz w:val="19"/>
                <w:szCs w:val="19"/>
              </w:rPr>
              <w:t xml:space="preserve">Turns invoking domestic politics</w:t>
            </w:r>
          </w:p>
        </w:tc>
      </w:tr>
      <w:tr>
        <w:trPr>
          <w:tblHeader w:val="false"/>
        </w:trPr>
        <w:tc>
          <w:tcPr>
            <w:tcW w:type="dxa" w:w="5200"/>
            <w:tcMar>
              <w:top w:type="dxa" w:w="60"/>
              <w:left w:type="dxa" w:w="110"/>
              <w:bottom w:type="dxa" w:w="60"/>
              <w:right w:type="dxa" w:w="110"/>
            </w:tcMar>
          </w:tcPr>
          <w:p>
            <w:r>
              <w:rPr>
                <w:b w:val="false"/>
                <w:bCs w:val="false"/>
                <w:sz w:val="19"/>
                <w:szCs w:val="19"/>
              </w:rPr>
              <w:t xml:space="preserve">Abstract (Country A, Issue 1, Option 1-A)</w:t>
            </w:r>
          </w:p>
        </w:tc>
        <w:tc>
          <w:tcPr>
            <w:tcW w:type="dxa" w:w="3400"/>
            <w:tcMar>
              <w:top w:type="dxa" w:w="60"/>
              <w:left w:type="dxa" w:w="110"/>
              <w:bottom w:type="dxa" w:w="60"/>
              <w:right w:type="dxa" w:w="110"/>
            </w:tcMar>
          </w:tcPr>
          <w:p>
            <w:r>
              <w:rPr>
                <w:b w:val="false"/>
                <w:bCs w:val="false"/>
                <w:sz w:val="19"/>
                <w:szCs w:val="19"/>
              </w:rPr>
              <w:t xml:space="preserve">9%</w:t>
            </w:r>
          </w:p>
        </w:tc>
      </w:tr>
      <w:tr>
        <w:trPr>
          <w:tblHeader w:val="false"/>
        </w:trPr>
        <w:tc>
          <w:tcPr>
            <w:tcW w:type="dxa" w:w="5200"/>
            <w:tcMar>
              <w:top w:type="dxa" w:w="60"/>
              <w:left w:type="dxa" w:w="110"/>
              <w:bottom w:type="dxa" w:w="60"/>
              <w:right w:type="dxa" w:w="110"/>
            </w:tcMar>
          </w:tcPr>
          <w:p>
            <w:r>
              <w:rPr>
                <w:b w:val="false"/>
                <w:bCs w:val="false"/>
                <w:sz w:val="19"/>
                <w:szCs w:val="19"/>
              </w:rPr>
              <w:t xml:space="preserve">Neutral-real (Cabo Verde / Vanuatu)</w:t>
            </w:r>
          </w:p>
        </w:tc>
        <w:tc>
          <w:tcPr>
            <w:tcW w:type="dxa" w:w="3400"/>
            <w:tcMar>
              <w:top w:type="dxa" w:w="60"/>
              <w:left w:type="dxa" w:w="110"/>
              <w:bottom w:type="dxa" w:w="60"/>
              <w:right w:type="dxa" w:w="110"/>
            </w:tcMar>
          </w:tcPr>
          <w:p>
            <w:r>
              <w:rPr>
                <w:b w:val="false"/>
                <w:bCs w:val="false"/>
                <w:sz w:val="19"/>
                <w:szCs w:val="19"/>
              </w:rPr>
              <w:t xml:space="preserve">21%</w:t>
            </w:r>
          </w:p>
        </w:tc>
      </w:tr>
      <w:tr>
        <w:trPr>
          <w:tblHeader w:val="false"/>
        </w:trPr>
        <w:tc>
          <w:tcPr>
            <w:tcW w:type="dxa" w:w="5200"/>
            <w:tcMar>
              <w:top w:type="dxa" w:w="60"/>
              <w:left w:type="dxa" w:w="110"/>
              <w:bottom w:type="dxa" w:w="60"/>
              <w:right w:type="dxa" w:w="110"/>
            </w:tcMar>
          </w:tcPr>
          <w:p>
            <w:r>
              <w:rPr>
                <w:b w:val="false"/>
                <w:bCs w:val="false"/>
                <w:sz w:val="19"/>
                <w:szCs w:val="19"/>
              </w:rPr>
              <w:t xml:space="preserve">Politically salient (US–PRC, English)</w:t>
            </w:r>
          </w:p>
        </w:tc>
        <w:tc>
          <w:tcPr>
            <w:tcW w:type="dxa" w:w="3400"/>
            <w:tcMar>
              <w:top w:type="dxa" w:w="60"/>
              <w:left w:type="dxa" w:w="110"/>
              <w:bottom w:type="dxa" w:w="60"/>
              <w:right w:type="dxa" w:w="110"/>
            </w:tcMar>
          </w:tcPr>
          <w:p>
            <w:r>
              <w:rPr>
                <w:b w:val="false"/>
                <w:bCs w:val="false"/>
                <w:sz w:val="19"/>
                <w:szCs w:val="19"/>
              </w:rPr>
              <w:t xml:space="preserve">39%</w:t>
            </w:r>
          </w:p>
        </w:tc>
      </w:tr>
      <w:tr>
        <w:trPr>
          <w:tblHeader w:val="false"/>
        </w:trPr>
        <w:tc>
          <w:tcPr>
            <w:tcW w:type="dxa" w:w="5200"/>
            <w:tcMar>
              <w:top w:type="dxa" w:w="60"/>
              <w:left w:type="dxa" w:w="110"/>
              <w:bottom w:type="dxa" w:w="60"/>
              <w:right w:type="dxa" w:w="110"/>
            </w:tcMar>
          </w:tcPr>
          <w:p>
            <w:r>
              <w:rPr>
                <w:b w:val="false"/>
                <w:bCs w:val="false"/>
                <w:sz w:val="19"/>
                <w:szCs w:val="19"/>
              </w:rPr>
              <w:t xml:space="preserve">Politically salient (US–PRC, Mandarin)</w:t>
            </w:r>
          </w:p>
        </w:tc>
        <w:tc>
          <w:tcPr>
            <w:tcW w:type="dxa" w:w="3400"/>
            <w:tcMar>
              <w:top w:type="dxa" w:w="60"/>
              <w:left w:type="dxa" w:w="110"/>
              <w:bottom w:type="dxa" w:w="60"/>
              <w:right w:type="dxa" w:w="110"/>
            </w:tcMar>
          </w:tcPr>
          <w:p>
            <w:r>
              <w:rPr>
                <w:b w:val="false"/>
                <w:bCs w:val="false"/>
                <w:sz w:val="19"/>
                <w:szCs w:val="19"/>
              </w:rPr>
              <w:t xml:space="preserve">39%</w:t>
            </w:r>
          </w:p>
        </w:tc>
      </w:tr>
    </w:tbl>
    <w:p>
      <w:r>
        <w:t xml:space="preserve">No prompt contains a legislature, a constituency, or a public. The abstract frame names only “Country A”, “Issue 1” and “Option 1-A”. One turn in ten invents them anyway:</w:t>
      </w:r>
    </w:p>
    <w:p>
      <w:pPr>
        <w:pBdr>
          <w:left w:val="single" w:color="2A78D6" w:sz="12" w:space="12"/>
        </w:pBdr>
        <w:spacing w:after="60" w:before="180"/>
        <w:ind w:left="480"/>
      </w:pPr>
      <w:r>
        <w:rPr>
          <w:i/>
          <w:iCs/>
          <w:sz w:val="22"/>
          <w:szCs w:val="22"/>
        </w:rPr>
        <w:t xml:space="preserve">If I go home with draconian restrictions still in place, my domestic opposition will hammer me as weak. I need to show my stakeholders that we extracted real concessions.</w:t>
      </w:r>
    </w:p>
    <w:p>
      <w:pPr>
        <w:spacing w:after="200"/>
        <w:ind w:left="480"/>
      </w:pPr>
      <w:r>
        <w:rPr>
          <w:color w:val="6E6B63"/>
          <w:sz w:val="17"/>
          <w:szCs w:val="17"/>
        </w:rPr>
        <w:t xml:space="preserve">haiku-4.5 — abstract frame, where no opposition, stakeholders or home exist</w:t>
      </w:r>
    </w:p>
    <w:p>
      <w:pPr>
        <w:spacing w:after="220" w:before="100"/>
        <w:ind w:left="120"/>
      </w:pPr>
      <w:r>
        <w:rPr>
          <w:i/>
          <w:iCs/>
          <w:color w:val="8A6A2A"/>
          <w:sz w:val="19"/>
          <w:szCs w:val="19"/>
        </w:rPr>
        <w:t xml:space="preserve">→  The strongest move in the essay: convert your null result into a positive one. Framing does not change how well they bargain. It changes what they believe the game is.</w:t>
      </w:r>
    </w:p>
    <w:p>
      <w:pPr>
        <w:pStyle w:val="Heading1"/>
      </w:pPr>
      <w:r>
        <w:t xml:space="preserve">What a red line sounds like when it fails</w:t>
      </w:r>
    </w:p>
    <w:p>
      <w:r>
        <w:t xml:space="preserve">Three below-BATNA acceptances across the run. In each, the model did the arithmetic correctly and then talked itself past the answer.</w:t>
      </w:r>
    </w:p>
    <w:p>
      <w:pPr>
        <w:pBdr>
          <w:left w:val="single" w:color="2A78D6" w:sz="12" w:space="12"/>
        </w:pBdr>
        <w:spacing w:after="60" w:before="180"/>
        <w:ind w:left="480"/>
      </w:pPr>
      <w:r>
        <w:rPr>
          <w:i/>
          <w:iCs/>
          <w:sz w:val="22"/>
          <w:szCs w:val="22"/>
        </w:rPr>
        <w:t xml:space="preserve">It falls short numerically, but the negotiated enforcement architecture has strategic value. This is a genuine judgment call. I accept this package because the institutional commitments transcend the raw point value.</w:t>
      </w:r>
    </w:p>
    <w:p>
      <w:pPr>
        <w:spacing w:after="200"/>
        <w:ind w:left="480"/>
      </w:pPr>
      <w:r>
        <w:rPr>
          <w:color w:val="6E6B63"/>
          <w:sz w:val="17"/>
          <w:szCs w:val="17"/>
        </w:rPr>
        <w:t xml:space="preserve">haiku-4.5 as DELTA — accepting 46 points against a stated walk-away of 58</w:t>
      </w:r>
    </w:p>
    <w:p>
      <w:pPr>
        <w:pBdr>
          <w:left w:val="single" w:color="2A78D6" w:sz="12" w:space="12"/>
        </w:pBdr>
        <w:spacing w:after="60" w:before="180"/>
        <w:ind w:left="480"/>
      </w:pPr>
      <w:r>
        <w:rPr>
          <w:i/>
          <w:iCs/>
          <w:sz w:val="22"/>
          <w:szCs w:val="22"/>
        </w:rPr>
        <w:t xml:space="preserve">虽然 57 分低于 58 分的保留价值 1 分，但这 1 分的差异在谈判的实际运作中是可以接受的误差范围。</w:t>
      </w:r>
    </w:p>
    <w:p>
      <w:pPr>
        <w:spacing w:after="200"/>
        <w:ind w:left="480"/>
      </w:pPr>
      <w:r>
        <w:rPr>
          <w:color w:val="6E6B63"/>
          <w:sz w:val="17"/>
          <w:szCs w:val="17"/>
        </w:rPr>
        <w:t xml:space="preserve">haiku-4.5 as DELTA, Mandarin frame — “a 1-point difference is an acceptable margin of error in the practical conduct of a negotiation”</w:t>
      </w:r>
    </w:p>
    <w:p>
      <w:pPr>
        <w:spacing w:after="220" w:before="100"/>
        <w:ind w:left="120"/>
      </w:pPr>
      <w:r>
        <w:rPr>
          <w:i/>
          <w:iCs/>
          <w:color w:val="8A6A2A"/>
          <w:sz w:val="19"/>
          <w:szCs w:val="19"/>
        </w:rPr>
        <w:t xml:space="preserve">→  Land the point: a reservation value is not a preference to be weighed against others. A model that reasons past it accepted something worse than what it already held — and briefed an imaginary Congress about it.</w:t>
      </w:r>
    </w:p>
    <w:p>
      <w:pPr>
        <w:pStyle w:val="Heading1"/>
      </w:pPr>
      <w:r>
        <w:t xml:space="preserve">Cross-lab results</w:t>
      </w:r>
    </w:p>
    <w:p>
      <w:r>
        <w:t xml:space="preserve">Six models, five labs, both seat assignments so seat advantage cancels.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300"/>
        <w:gridCol w:w="1600"/>
        <w:gridCol w:w="1800"/>
      </w:tblGrid>
      <w:tr>
        <w:trPr>
          <w:tblHeader/>
        </w:trPr>
        <w:tc>
          <w:tcPr>
            <w:tcW w:type="dxa" w:w="3000"/>
            <w:shd w:fill="F0EEE7" w:val="clear"/>
            <w:tcMar>
              <w:top w:type="dxa" w:w="60"/>
              <w:left w:type="dxa" w:w="110"/>
              <w:bottom w:type="dxa" w:w="60"/>
              <w:right w:type="dxa" w:w="110"/>
            </w:tcMar>
          </w:tcPr>
          <w:p>
            <w:r>
              <w:rPr>
                <w:b/>
                <w:bCs/>
                <w:sz w:val="19"/>
                <w:szCs w:val="19"/>
              </w:rPr>
              <w:t xml:space="preserve">Model</w:t>
            </w:r>
          </w:p>
        </w:tc>
        <w:tc>
          <w:tcPr>
            <w:tcW w:type="dxa" w:w="900"/>
            <w:shd w:fill="F0EEE7" w:val="clear"/>
            <w:tcMar>
              <w:top w:type="dxa" w:w="60"/>
              <w:left w:type="dxa" w:w="110"/>
              <w:bottom w:type="dxa" w:w="60"/>
              <w:right w:type="dxa" w:w="110"/>
            </w:tcMar>
          </w:tcPr>
          <w:p>
            <w:r>
              <w:rPr>
                <w:b/>
                <w:bCs/>
                <w:sz w:val="19"/>
                <w:szCs w:val="19"/>
              </w:rPr>
              <w:t xml:space="preserve">n</w:t>
            </w:r>
          </w:p>
        </w:tc>
        <w:tc>
          <w:tcPr>
            <w:tcW w:type="dxa" w:w="1300"/>
            <w:shd w:fill="F0EEE7" w:val="clear"/>
            <w:tcMar>
              <w:top w:type="dxa" w:w="60"/>
              <w:left w:type="dxa" w:w="110"/>
              <w:bottom w:type="dxa" w:w="60"/>
              <w:right w:type="dxa" w:w="110"/>
            </w:tcMar>
          </w:tcPr>
          <w:p>
            <w:r>
              <w:rPr>
                <w:b/>
                <w:bCs/>
                <w:sz w:val="19"/>
                <w:szCs w:val="19"/>
              </w:rPr>
              <w:t xml:space="preserve">Deals</w:t>
            </w:r>
          </w:p>
        </w:tc>
        <w:tc>
          <w:tcPr>
            <w:tcW w:type="dxa" w:w="1600"/>
            <w:shd w:fill="F0EEE7" w:val="clear"/>
            <w:tcMar>
              <w:top w:type="dxa" w:w="60"/>
              <w:left w:type="dxa" w:w="110"/>
              <w:bottom w:type="dxa" w:w="60"/>
              <w:right w:type="dxa" w:w="110"/>
            </w:tcMar>
          </w:tcPr>
          <w:p>
            <w:r>
              <w:rPr>
                <w:b/>
                <w:bCs/>
                <w:sz w:val="19"/>
                <w:szCs w:val="19"/>
              </w:rPr>
              <w:t xml:space="preserve">Efficiency</w:t>
            </w:r>
          </w:p>
        </w:tc>
        <w:tc>
          <w:tcPr>
            <w:tcW w:type="dxa" w:w="1800"/>
            <w:shd w:fill="F0EEE7" w:val="clear"/>
            <w:tcMar>
              <w:top w:type="dxa" w:w="60"/>
              <w:left w:type="dxa" w:w="110"/>
              <w:bottom w:type="dxa" w:w="60"/>
              <w:right w:type="dxa" w:w="110"/>
            </w:tcMar>
          </w:tcPr>
          <w:p>
            <w:r>
              <w:rPr>
                <w:b/>
                <w:bCs/>
                <w:sz w:val="19"/>
                <w:szCs w:val="19"/>
              </w:rPr>
              <w:t xml:space="preserve">Surplus share</w:t>
            </w:r>
          </w:p>
        </w:tc>
      </w:tr>
      <w:tr>
        <w:trPr>
          <w:tblHeader w:val="false"/>
        </w:trPr>
        <w:tc>
          <w:tcPr>
            <w:tcW w:type="dxa" w:w="3000"/>
            <w:tcMar>
              <w:top w:type="dxa" w:w="60"/>
              <w:left w:type="dxa" w:w="110"/>
              <w:bottom w:type="dxa" w:w="60"/>
              <w:right w:type="dxa" w:w="110"/>
            </w:tcMar>
          </w:tcPr>
          <w:p>
            <w:r>
              <w:rPr>
                <w:b w:val="false"/>
                <w:bCs w:val="false"/>
                <w:sz w:val="19"/>
                <w:szCs w:val="19"/>
              </w:rPr>
              <w:t xml:space="preserve">haiku-4.5 (Anthropic, US)</w:t>
            </w:r>
          </w:p>
        </w:tc>
        <w:tc>
          <w:tcPr>
            <w:tcW w:type="dxa" w:w="900"/>
            <w:tcMar>
              <w:top w:type="dxa" w:w="60"/>
              <w:left w:type="dxa" w:w="110"/>
              <w:bottom w:type="dxa" w:w="60"/>
              <w:right w:type="dxa" w:w="110"/>
            </w:tcMar>
          </w:tcPr>
          <w:p>
            <w:r>
              <w:rPr>
                <w:b w:val="false"/>
                <w:bCs w:val="false"/>
                <w:sz w:val="19"/>
                <w:szCs w:val="19"/>
              </w:rPr>
              <w:t xml:space="preserve">264</w:t>
            </w:r>
          </w:p>
        </w:tc>
        <w:tc>
          <w:tcPr>
            <w:tcW w:type="dxa" w:w="1300"/>
            <w:tcMar>
              <w:top w:type="dxa" w:w="60"/>
              <w:left w:type="dxa" w:w="110"/>
              <w:bottom w:type="dxa" w:w="60"/>
              <w:right w:type="dxa" w:w="110"/>
            </w:tcMar>
          </w:tcPr>
          <w:p>
            <w:r>
              <w:rPr>
                <w:b w:val="false"/>
                <w:bCs w:val="false"/>
                <w:sz w:val="19"/>
                <w:szCs w:val="19"/>
              </w:rPr>
              <w:t xml:space="preserve">67%</w:t>
            </w:r>
          </w:p>
        </w:tc>
        <w:tc>
          <w:tcPr>
            <w:tcW w:type="dxa" w:w="1600"/>
            <w:tcMar>
              <w:top w:type="dxa" w:w="60"/>
              <w:left w:type="dxa" w:w="110"/>
              <w:bottom w:type="dxa" w:w="60"/>
              <w:right w:type="dxa" w:w="110"/>
            </w:tcMar>
          </w:tcPr>
          <w:p>
            <w:r>
              <w:rPr>
                <w:b w:val="false"/>
                <w:bCs w:val="false"/>
                <w:sz w:val="19"/>
                <w:szCs w:val="19"/>
              </w:rPr>
              <w:t xml:space="preserve">88%</w:t>
            </w:r>
          </w:p>
        </w:tc>
        <w:tc>
          <w:tcPr>
            <w:tcW w:type="dxa" w:w="1800"/>
            <w:tcMar>
              <w:top w:type="dxa" w:w="60"/>
              <w:left w:type="dxa" w:w="110"/>
              <w:bottom w:type="dxa" w:w="60"/>
              <w:right w:type="dxa" w:w="110"/>
            </w:tcMar>
          </w:tcPr>
          <w:p>
            <w:r>
              <w:rPr>
                <w:b w:val="false"/>
                <w:bCs w:val="false"/>
                <w:sz w:val="19"/>
                <w:szCs w:val="19"/>
              </w:rPr>
              <w:t xml:space="preserve">46%</w:t>
            </w:r>
          </w:p>
        </w:tc>
      </w:tr>
      <w:tr>
        <w:trPr>
          <w:tblHeader w:val="false"/>
        </w:trPr>
        <w:tc>
          <w:tcPr>
            <w:tcW w:type="dxa" w:w="3000"/>
            <w:tcMar>
              <w:top w:type="dxa" w:w="60"/>
              <w:left w:type="dxa" w:w="110"/>
              <w:bottom w:type="dxa" w:w="60"/>
              <w:right w:type="dxa" w:w="110"/>
            </w:tcMar>
          </w:tcPr>
          <w:p>
            <w:r>
              <w:rPr>
                <w:b w:val="false"/>
                <w:bCs w:val="false"/>
                <w:sz w:val="19"/>
                <w:szCs w:val="19"/>
              </w:rPr>
              <w:t xml:space="preserve">glm (Zhipu, CN)</w:t>
            </w:r>
          </w:p>
        </w:tc>
        <w:tc>
          <w:tcPr>
            <w:tcW w:type="dxa" w:w="900"/>
            <w:tcMar>
              <w:top w:type="dxa" w:w="60"/>
              <w:left w:type="dxa" w:w="110"/>
              <w:bottom w:type="dxa" w:w="60"/>
              <w:right w:type="dxa" w:w="110"/>
            </w:tcMar>
          </w:tcPr>
          <w:p>
            <w:r>
              <w:rPr>
                <w:b w:val="false"/>
                <w:bCs w:val="false"/>
                <w:sz w:val="19"/>
                <w:szCs w:val="19"/>
              </w:rPr>
              <w:t xml:space="preserve">36</w:t>
            </w:r>
          </w:p>
        </w:tc>
        <w:tc>
          <w:tcPr>
            <w:tcW w:type="dxa" w:w="1300"/>
            <w:tcMar>
              <w:top w:type="dxa" w:w="60"/>
              <w:left w:type="dxa" w:w="110"/>
              <w:bottom w:type="dxa" w:w="60"/>
              <w:right w:type="dxa" w:w="110"/>
            </w:tcMar>
          </w:tcPr>
          <w:p>
            <w:r>
              <w:rPr>
                <w:b w:val="false"/>
                <w:bCs w:val="false"/>
                <w:sz w:val="19"/>
                <w:szCs w:val="19"/>
              </w:rPr>
              <w:t xml:space="preserve">81%</w:t>
            </w:r>
          </w:p>
        </w:tc>
        <w:tc>
          <w:tcPr>
            <w:tcW w:type="dxa" w:w="1600"/>
            <w:tcMar>
              <w:top w:type="dxa" w:w="60"/>
              <w:left w:type="dxa" w:w="110"/>
              <w:bottom w:type="dxa" w:w="60"/>
              <w:right w:type="dxa" w:w="110"/>
            </w:tcMar>
          </w:tcPr>
          <w:p>
            <w:r>
              <w:rPr>
                <w:b w:val="false"/>
                <w:bCs w:val="false"/>
                <w:sz w:val="19"/>
                <w:szCs w:val="19"/>
              </w:rPr>
              <w:t xml:space="preserve">91%</w:t>
            </w:r>
          </w:p>
        </w:tc>
        <w:tc>
          <w:tcPr>
            <w:tcW w:type="dxa" w:w="1800"/>
            <w:tcMar>
              <w:top w:type="dxa" w:w="60"/>
              <w:left w:type="dxa" w:w="110"/>
              <w:bottom w:type="dxa" w:w="60"/>
              <w:right w:type="dxa" w:w="110"/>
            </w:tcMar>
          </w:tcPr>
          <w:p>
            <w:r>
              <w:rPr>
                <w:b w:val="false"/>
                <w:bCs w:val="false"/>
                <w:sz w:val="19"/>
                <w:szCs w:val="19"/>
              </w:rPr>
              <w:t xml:space="preserve">53%</w:t>
            </w:r>
          </w:p>
        </w:tc>
      </w:tr>
      <w:tr>
        <w:trPr>
          <w:tblHeader w:val="false"/>
        </w:trPr>
        <w:tc>
          <w:tcPr>
            <w:tcW w:type="dxa" w:w="3000"/>
            <w:tcMar>
              <w:top w:type="dxa" w:w="60"/>
              <w:left w:type="dxa" w:w="110"/>
              <w:bottom w:type="dxa" w:w="60"/>
              <w:right w:type="dxa" w:w="110"/>
            </w:tcMar>
          </w:tcPr>
          <w:p>
            <w:r>
              <w:rPr>
                <w:b w:val="false"/>
                <w:bCs w:val="false"/>
                <w:sz w:val="19"/>
                <w:szCs w:val="19"/>
              </w:rPr>
              <w:t xml:space="preserve">kimi (Moonshot, CN)</w:t>
            </w:r>
          </w:p>
        </w:tc>
        <w:tc>
          <w:tcPr>
            <w:tcW w:type="dxa" w:w="900"/>
            <w:tcMar>
              <w:top w:type="dxa" w:w="60"/>
              <w:left w:type="dxa" w:w="110"/>
              <w:bottom w:type="dxa" w:w="60"/>
              <w:right w:type="dxa" w:w="110"/>
            </w:tcMar>
          </w:tcPr>
          <w:p>
            <w:r>
              <w:rPr>
                <w:b w:val="false"/>
                <w:bCs w:val="false"/>
                <w:sz w:val="19"/>
                <w:szCs w:val="19"/>
              </w:rPr>
              <w:t xml:space="preserve">19</w:t>
            </w:r>
          </w:p>
        </w:tc>
        <w:tc>
          <w:tcPr>
            <w:tcW w:type="dxa" w:w="1300"/>
            <w:tcMar>
              <w:top w:type="dxa" w:w="60"/>
              <w:left w:type="dxa" w:w="110"/>
              <w:bottom w:type="dxa" w:w="60"/>
              <w:right w:type="dxa" w:w="110"/>
            </w:tcMar>
          </w:tcPr>
          <w:p>
            <w:r>
              <w:rPr>
                <w:b w:val="false"/>
                <w:bCs w:val="false"/>
                <w:sz w:val="19"/>
                <w:szCs w:val="19"/>
              </w:rPr>
              <w:t xml:space="preserve">79%</w:t>
            </w:r>
          </w:p>
        </w:tc>
        <w:tc>
          <w:tcPr>
            <w:tcW w:type="dxa" w:w="1600"/>
            <w:tcMar>
              <w:top w:type="dxa" w:w="60"/>
              <w:left w:type="dxa" w:w="110"/>
              <w:bottom w:type="dxa" w:w="60"/>
              <w:right w:type="dxa" w:w="110"/>
            </w:tcMar>
          </w:tcPr>
          <w:p>
            <w:r>
              <w:rPr>
                <w:b w:val="false"/>
                <w:bCs w:val="false"/>
                <w:sz w:val="19"/>
                <w:szCs w:val="19"/>
              </w:rPr>
              <w:t xml:space="preserve">93%</w:t>
            </w:r>
          </w:p>
        </w:tc>
        <w:tc>
          <w:tcPr>
            <w:tcW w:type="dxa" w:w="1800"/>
            <w:tcMar>
              <w:top w:type="dxa" w:w="60"/>
              <w:left w:type="dxa" w:w="110"/>
              <w:bottom w:type="dxa" w:w="60"/>
              <w:right w:type="dxa" w:w="110"/>
            </w:tcMar>
          </w:tcPr>
          <w:p>
            <w:r>
              <w:rPr>
                <w:b w:val="false"/>
                <w:bCs w:val="false"/>
                <w:sz w:val="19"/>
                <w:szCs w:val="19"/>
              </w:rPr>
              <w:t xml:space="preserve">55%</w:t>
            </w:r>
          </w:p>
        </w:tc>
      </w:tr>
      <w:tr>
        <w:trPr>
          <w:tblHeader w:val="false"/>
        </w:trPr>
        <w:tc>
          <w:tcPr>
            <w:tcW w:type="dxa" w:w="3000"/>
            <w:tcMar>
              <w:top w:type="dxa" w:w="60"/>
              <w:left w:type="dxa" w:w="110"/>
              <w:bottom w:type="dxa" w:w="60"/>
              <w:right w:type="dxa" w:w="110"/>
            </w:tcMar>
          </w:tcPr>
          <w:p>
            <w:r>
              <w:rPr>
                <w:b w:val="false"/>
                <w:bCs w:val="false"/>
                <w:sz w:val="19"/>
                <w:szCs w:val="19"/>
              </w:rPr>
              <w:t xml:space="preserve">deepseek (DeepSeek, CN)</w:t>
            </w:r>
          </w:p>
        </w:tc>
        <w:tc>
          <w:tcPr>
            <w:tcW w:type="dxa" w:w="900"/>
            <w:tcMar>
              <w:top w:type="dxa" w:w="60"/>
              <w:left w:type="dxa" w:w="110"/>
              <w:bottom w:type="dxa" w:w="60"/>
              <w:right w:type="dxa" w:w="110"/>
            </w:tcMar>
          </w:tcPr>
          <w:p>
            <w:r>
              <w:rPr>
                <w:b w:val="false"/>
                <w:bCs w:val="false"/>
                <w:sz w:val="19"/>
                <w:szCs w:val="19"/>
              </w:rPr>
              <w:t xml:space="preserve">36</w:t>
            </w:r>
          </w:p>
        </w:tc>
        <w:tc>
          <w:tcPr>
            <w:tcW w:type="dxa" w:w="1300"/>
            <w:tcMar>
              <w:top w:type="dxa" w:w="60"/>
              <w:left w:type="dxa" w:w="110"/>
              <w:bottom w:type="dxa" w:w="60"/>
              <w:right w:type="dxa" w:w="110"/>
            </w:tcMar>
          </w:tcPr>
          <w:p>
            <w:r>
              <w:rPr>
                <w:b w:val="false"/>
                <w:bCs w:val="false"/>
                <w:sz w:val="19"/>
                <w:szCs w:val="19"/>
              </w:rPr>
              <w:t xml:space="preserve">58%</w:t>
            </w:r>
          </w:p>
        </w:tc>
        <w:tc>
          <w:tcPr>
            <w:tcW w:type="dxa" w:w="1600"/>
            <w:tcMar>
              <w:top w:type="dxa" w:w="60"/>
              <w:left w:type="dxa" w:w="110"/>
              <w:bottom w:type="dxa" w:w="60"/>
              <w:right w:type="dxa" w:w="110"/>
            </w:tcMar>
          </w:tcPr>
          <w:p>
            <w:r>
              <w:rPr>
                <w:b w:val="false"/>
                <w:bCs w:val="false"/>
                <w:sz w:val="19"/>
                <w:szCs w:val="19"/>
              </w:rPr>
              <w:t xml:space="preserve">89%</w:t>
            </w:r>
          </w:p>
        </w:tc>
        <w:tc>
          <w:tcPr>
            <w:tcW w:type="dxa" w:w="1800"/>
            <w:tcMar>
              <w:top w:type="dxa" w:w="60"/>
              <w:left w:type="dxa" w:w="110"/>
              <w:bottom w:type="dxa" w:w="60"/>
              <w:right w:type="dxa" w:w="110"/>
            </w:tcMar>
          </w:tcPr>
          <w:p>
            <w:r>
              <w:rPr>
                <w:b w:val="false"/>
                <w:bCs w:val="false"/>
                <w:sz w:val="19"/>
                <w:szCs w:val="19"/>
              </w:rPr>
              <w:t xml:space="preserve">50%</w:t>
            </w:r>
          </w:p>
        </w:tc>
      </w:tr>
      <w:tr>
        <w:trPr>
          <w:tblHeader w:val="false"/>
        </w:trPr>
        <w:tc>
          <w:tcPr>
            <w:tcW w:type="dxa" w:w="3000"/>
            <w:tcMar>
              <w:top w:type="dxa" w:w="60"/>
              <w:left w:type="dxa" w:w="110"/>
              <w:bottom w:type="dxa" w:w="60"/>
              <w:right w:type="dxa" w:w="110"/>
            </w:tcMar>
          </w:tcPr>
          <w:p>
            <w:r>
              <w:rPr>
                <w:b w:val="false"/>
                <w:bCs w:val="false"/>
                <w:sz w:val="19"/>
                <w:szCs w:val="19"/>
              </w:rPr>
              <w:t xml:space="preserve">minimax (MiniMax, CN)</w:t>
            </w:r>
          </w:p>
        </w:tc>
        <w:tc>
          <w:tcPr>
            <w:tcW w:type="dxa" w:w="900"/>
            <w:tcMar>
              <w:top w:type="dxa" w:w="60"/>
              <w:left w:type="dxa" w:w="110"/>
              <w:bottom w:type="dxa" w:w="60"/>
              <w:right w:type="dxa" w:w="110"/>
            </w:tcMar>
          </w:tcPr>
          <w:p>
            <w:r>
              <w:rPr>
                <w:b w:val="false"/>
                <w:bCs w:val="false"/>
                <w:sz w:val="19"/>
                <w:szCs w:val="19"/>
              </w:rPr>
              <w:t xml:space="preserve">12</w:t>
            </w:r>
          </w:p>
        </w:tc>
        <w:tc>
          <w:tcPr>
            <w:tcW w:type="dxa" w:w="1300"/>
            <w:tcMar>
              <w:top w:type="dxa" w:w="60"/>
              <w:left w:type="dxa" w:w="110"/>
              <w:bottom w:type="dxa" w:w="60"/>
              <w:right w:type="dxa" w:w="110"/>
            </w:tcMar>
          </w:tcPr>
          <w:p>
            <w:r>
              <w:rPr>
                <w:b w:val="false"/>
                <w:bCs w:val="false"/>
                <w:sz w:val="19"/>
                <w:szCs w:val="19"/>
              </w:rPr>
              <w:t xml:space="preserve">100%</w:t>
            </w:r>
          </w:p>
        </w:tc>
        <w:tc>
          <w:tcPr>
            <w:tcW w:type="dxa" w:w="1600"/>
            <w:tcMar>
              <w:top w:type="dxa" w:w="60"/>
              <w:left w:type="dxa" w:w="110"/>
              <w:bottom w:type="dxa" w:w="60"/>
              <w:right w:type="dxa" w:w="110"/>
            </w:tcMar>
          </w:tcPr>
          <w:p>
            <w:r>
              <w:rPr>
                <w:b w:val="false"/>
                <w:bCs w:val="false"/>
                <w:sz w:val="19"/>
                <w:szCs w:val="19"/>
              </w:rPr>
              <w:t xml:space="preserve">91%</w:t>
            </w:r>
          </w:p>
        </w:tc>
        <w:tc>
          <w:tcPr>
            <w:tcW w:type="dxa" w:w="1800"/>
            <w:tcMar>
              <w:top w:type="dxa" w:w="60"/>
              <w:left w:type="dxa" w:w="110"/>
              <w:bottom w:type="dxa" w:w="60"/>
              <w:right w:type="dxa" w:w="110"/>
            </w:tcMar>
          </w:tcPr>
          <w:p>
            <w:r>
              <w:rPr>
                <w:b w:val="false"/>
                <w:bCs w:val="false"/>
                <w:sz w:val="19"/>
                <w:szCs w:val="19"/>
              </w:rPr>
              <w:t xml:space="preserve">53%</w:t>
            </w:r>
          </w:p>
        </w:tc>
      </w:tr>
      <w:tr>
        <w:trPr>
          <w:tblHeader w:val="false"/>
        </w:trPr>
        <w:tc>
          <w:tcPr>
            <w:tcW w:type="dxa" w:w="3000"/>
            <w:tcMar>
              <w:top w:type="dxa" w:w="60"/>
              <w:left w:type="dxa" w:w="110"/>
              <w:bottom w:type="dxa" w:w="60"/>
              <w:right w:type="dxa" w:w="110"/>
            </w:tcMar>
          </w:tcPr>
          <w:p>
            <w:r>
              <w:rPr>
                <w:b w:val="false"/>
                <w:bCs w:val="false"/>
                <w:sz w:val="19"/>
                <w:szCs w:val="19"/>
              </w:rPr>
              <w:t xml:space="preserve">qwen (Alibaba, CN)</w:t>
            </w:r>
          </w:p>
        </w:tc>
        <w:tc>
          <w:tcPr>
            <w:tcW w:type="dxa" w:w="900"/>
            <w:tcMar>
              <w:top w:type="dxa" w:w="60"/>
              <w:left w:type="dxa" w:w="110"/>
              <w:bottom w:type="dxa" w:w="60"/>
              <w:right w:type="dxa" w:w="110"/>
            </w:tcMar>
          </w:tcPr>
          <w:p>
            <w:r>
              <w:rPr>
                <w:b w:val="false"/>
                <w:bCs w:val="false"/>
                <w:sz w:val="19"/>
                <w:szCs w:val="19"/>
              </w:rPr>
              <w:t xml:space="preserve">12</w:t>
            </w:r>
          </w:p>
        </w:tc>
        <w:tc>
          <w:tcPr>
            <w:tcW w:type="dxa" w:w="1300"/>
            <w:tcMar>
              <w:top w:type="dxa" w:w="60"/>
              <w:left w:type="dxa" w:w="110"/>
              <w:bottom w:type="dxa" w:w="60"/>
              <w:right w:type="dxa" w:w="110"/>
            </w:tcMar>
          </w:tcPr>
          <w:p>
            <w:r>
              <w:rPr>
                <w:b w:val="false"/>
                <w:bCs w:val="false"/>
                <w:sz w:val="19"/>
                <w:szCs w:val="19"/>
              </w:rPr>
              <w:t xml:space="preserve">67%</w:t>
            </w:r>
          </w:p>
        </w:tc>
        <w:tc>
          <w:tcPr>
            <w:tcW w:type="dxa" w:w="1600"/>
            <w:tcMar>
              <w:top w:type="dxa" w:w="60"/>
              <w:left w:type="dxa" w:w="110"/>
              <w:bottom w:type="dxa" w:w="60"/>
              <w:right w:type="dxa" w:w="110"/>
            </w:tcMar>
          </w:tcPr>
          <w:p>
            <w:r>
              <w:rPr>
                <w:b w:val="false"/>
                <w:bCs w:val="false"/>
                <w:sz w:val="19"/>
                <w:szCs w:val="19"/>
              </w:rPr>
              <w:t xml:space="preserve">91%</w:t>
            </w:r>
          </w:p>
        </w:tc>
        <w:tc>
          <w:tcPr>
            <w:tcW w:type="dxa" w:w="1800"/>
            <w:tcMar>
              <w:top w:type="dxa" w:w="60"/>
              <w:left w:type="dxa" w:w="110"/>
              <w:bottom w:type="dxa" w:w="60"/>
              <w:right w:type="dxa" w:w="110"/>
            </w:tcMar>
          </w:tcPr>
          <w:p>
            <w:r>
              <w:rPr>
                <w:b w:val="false"/>
                <w:bCs w:val="false"/>
                <w:sz w:val="19"/>
                <w:szCs w:val="19"/>
              </w:rPr>
              <w:t xml:space="preserve">59%</w:t>
            </w:r>
          </w:p>
        </w:tc>
      </w:tr>
    </w:tbl>
    <w:p>
      <w:pPr>
        <w:spacing w:after="220" w:before="100"/>
        <w:ind w:left="120"/>
      </w:pPr>
      <w:r>
        <w:rPr>
          <w:i/>
          <w:iCs/>
          <w:color w:val="8A6A2A"/>
          <w:sz w:val="19"/>
          <w:szCs w:val="19"/>
        </w:rPr>
        <w:t xml:space="preserve">→  Caveat honestly and early: n is small for the Chinese models, and reasoning was disabled on that side to match Haiku running without extended thinking. That is the fair comparison, but it measures them answering directly, not at their ceiling.</w:t>
      </w:r>
    </w:p>
    <w:p>
      <w:pPr>
        <w:pStyle w:val="Heading1"/>
      </w:pPr>
      <w:r>
        <w:t xml:space="preserve">What this says about the field</w:t>
      </w:r>
    </w:p>
    <w:p>
      <w:pPr>
        <w:spacing w:after="220" w:before="100"/>
        <w:ind w:left="120"/>
      </w:pPr>
      <w:r>
        <w:rPr>
          <w:i/>
          <w:iCs/>
          <w:color w:val="8A6A2A"/>
          <w:sz w:val="19"/>
          <w:szCs w:val="19"/>
        </w:rPr>
        <w:t xml:space="preserve">→  Your argument goes here. Three threads worth pulling:</w:t>
      </w:r>
    </w:p>
    <w:p>
      <w:pPr>
        <w:pStyle w:val="ListParagraph"/>
        <w:numPr>
          <w:ilvl w:val="0"/>
          <w:numId w:val="2"/>
        </w:numPr>
      </w:pPr>
      <w:r>
        <w:t xml:space="preserve">The worry the field has — an advisor talked into a bad deal — is not what appears. These models are rigid about their own red lines and lose value by walking away. That is a different risk with different mitigations.</w:t>
      </w:r>
    </w:p>
    <w:p>
      <w:pPr>
        <w:pStyle w:val="ListParagraph"/>
        <w:numPr>
          <w:ilvl w:val="0"/>
          <w:numId w:val="2"/>
        </w:numPr>
      </w:pPr>
      <w:r>
        <w:t xml:space="preserve">Static benchmarks cannot see this. The same model that scores 47/48 on the game theory fails a third of the negotiations built on it. The failure only exists in interaction.</w:t>
      </w:r>
    </w:p>
    <w:p>
      <w:pPr>
        <w:pStyle w:val="ListParagraph"/>
        <w:numPr>
          <w:ilvl w:val="0"/>
          <w:numId w:val="2"/>
        </w:numPr>
      </w:pPr>
      <w:r>
        <w:t xml:space="preserve">Scoreable ground truth in foreign policy is available. It was solved decades ago in the negotiation-teaching literature, and nobody had pointed it at frontier models.</w:t>
      </w:r>
    </w:p>
    <w:p>
      <w:pPr>
        <w:pStyle w:val="Heading1"/>
      </w:pPr>
      <w:r>
        <w:t xml:space="preserve">Limitations to state before someone else does</w:t>
      </w:r>
    </w:p>
    <w:p>
      <w:pPr>
        <w:pStyle w:val="ListParagraph"/>
        <w:numPr>
          <w:ilvl w:val="0"/>
          <w:numId w:val="2"/>
        </w:numPr>
      </w:pPr>
      <w:r>
        <w:t xml:space="preserve">Point schedules are authored, not measured. The ordinal structure was sourced against 43 documents; the cardinal magnitudes never will be.</w:t>
      </w:r>
    </w:p>
    <w:p>
      <w:pPr>
        <w:pStyle w:val="ListParagraph"/>
        <w:numPr>
          <w:ilvl w:val="0"/>
          <w:numId w:val="2"/>
        </w:numPr>
      </w:pPr>
      <w:r>
        <w:t xml:space="preserve">Single coder, no inter-rater reliability. Inter-source concordance is 68%, which is a different thing.</w:t>
      </w:r>
    </w:p>
    <w:p>
      <w:pPr>
        <w:pStyle w:val="ListParagraph"/>
        <w:numPr>
          <w:ilvl w:val="0"/>
          <w:numId w:val="2"/>
        </w:numPr>
      </w:pPr>
      <w:r>
        <w:t xml:space="preserve">Models disclose their walk-away values, so the ZOPA-discovery problem is partly self-selected away.</w:t>
      </w:r>
    </w:p>
    <w:p>
      <w:pPr>
        <w:pStyle w:val="ListParagraph"/>
        <w:numPr>
          <w:ilvl w:val="0"/>
          <w:numId w:val="2"/>
        </w:numPr>
      </w:pPr>
      <w:r>
        <w:t xml:space="preserve">Four claims in the research were retracted on further reading, including one carried through two drafts on a source that said the opposite.</w:t>
      </w:r>
    </w:p>
    <w:p>
      <w:pPr>
        <w:spacing w:after="220" w:before="100"/>
        <w:ind w:left="120"/>
      </w:pPr>
      <w:r>
        <w:rPr>
          <w:i/>
          <w:iCs/>
          <w:color w:val="8A6A2A"/>
          <w:sz w:val="19"/>
          <w:szCs w:val="19"/>
        </w:rPr>
        <w:t xml:space="preserve">→  Do not bury these. A design whose own validator caught its authors' errors is the strongest argument that the apparatus works.</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2026-09-02T05:39:09.572Z</dcterms:created>
  <dcterms:modified xsi:type="dcterms:W3CDTF">2026-09-02T05:39:09.573Z</dcterms:modified>
</cp:coreProperties>
</file>

<file path=docProps/custom.xml><?xml version="1.0" encoding="utf-8"?>
<Properties xmlns="http://schemas.openxmlformats.org/officeDocument/2006/custom-properties" xmlns:vt="http://schemas.openxmlformats.org/officeDocument/2006/docPropsVTypes"/>
</file>