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931EE3" w14:textId="742623EA" w:rsidR="00A966F0" w:rsidRDefault="00C63E95" w:rsidP="00C63E95">
      <w:pPr>
        <w:pStyle w:val="Heading1"/>
      </w:pPr>
      <w:r>
        <w:t>Location Quotient (LQ)</w:t>
      </w:r>
    </w:p>
    <w:p w14:paraId="159D1F80" w14:textId="13339589" w:rsidR="00C63E95" w:rsidRDefault="00C63E95" w:rsidP="00C63E95">
      <w:r>
        <w:t xml:space="preserve">The </w:t>
      </w:r>
      <w:r>
        <w:rPr>
          <w:b/>
          <w:bCs/>
        </w:rPr>
        <w:t xml:space="preserve">location quotient (LQ) </w:t>
      </w:r>
      <w:r>
        <w:t xml:space="preserve">measures the concentration of an industry in a region compared to some benchmark region. </w:t>
      </w:r>
    </w:p>
    <w:p w14:paraId="3B5CCCAD" w14:textId="34D99BF9" w:rsidR="00C63E95" w:rsidRPr="00C63E95" w:rsidRDefault="00C63E95" w:rsidP="00C63E9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ir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ir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/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den>
              </m:f>
            </m:e>
          </m:d>
        </m:oMath>
      </m:oMathPara>
    </w:p>
    <w:p w14:paraId="205E576B" w14:textId="77EE448E" w:rsidR="00C63E95" w:rsidRDefault="00C63E95" w:rsidP="00C63E95">
      <w:pPr>
        <w:rPr>
          <w:rFonts w:eastAsiaTheme="minorEastAsia"/>
        </w:rPr>
      </w:pPr>
      <w:r>
        <w:rPr>
          <w:rFonts w:eastAsiaTheme="minorEastAsia"/>
        </w:rPr>
        <w:t xml:space="preserve">where E is the number of establishments </w:t>
      </w:r>
      <w:proofErr w:type="gramStart"/>
      <w:r>
        <w:rPr>
          <w:rFonts w:eastAsiaTheme="minorEastAsia"/>
        </w:rPr>
        <w:t>in a given</w:t>
      </w:r>
      <w:proofErr w:type="gramEnd"/>
      <w:r>
        <w:rPr>
          <w:rFonts w:eastAsiaTheme="minorEastAsia"/>
        </w:rPr>
        <w:t xml:space="preserve"> industry (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>) and/or region (r). N refers to the benchmark region overall.</w:t>
      </w:r>
    </w:p>
    <w:p w14:paraId="597C338F" w14:textId="46FD7F08" w:rsidR="00C63E95" w:rsidRDefault="00C63E95" w:rsidP="00C63E95">
      <w:pPr>
        <w:pStyle w:val="Heading1"/>
      </w:pPr>
      <w:r>
        <w:t>Credibility Adjusted LQ</w:t>
      </w:r>
    </w:p>
    <w:p w14:paraId="2753A108" w14:textId="06E0B231" w:rsidR="00C63E95" w:rsidRDefault="00C63E95" w:rsidP="00C63E95">
      <w:r>
        <w:t xml:space="preserve">We can adjust the LQ using the Buhlmann credibility factor (Z): </w:t>
      </w:r>
    </w:p>
    <w:p w14:paraId="04F39E28" w14:textId="4A95BC2D" w:rsidR="00C63E95" w:rsidRPr="00C63E95" w:rsidRDefault="00C63E95" w:rsidP="00C63E9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ir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⋅L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ir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d>
          <m:r>
            <w:rPr>
              <w:rFonts w:ascii="Cambria Math" w:hAnsi="Cambria Math"/>
            </w:rPr>
            <m:t>⋅L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benchmark</m:t>
              </m:r>
            </m:sub>
          </m:sSub>
        </m:oMath>
      </m:oMathPara>
    </w:p>
    <w:p w14:paraId="31C82FB5" w14:textId="613F942B" w:rsidR="00C63E95" w:rsidRDefault="00C63E95" w:rsidP="00C63E95">
      <w:pPr>
        <w:rPr>
          <w:rFonts w:eastAsiaTheme="minorEastAsia"/>
        </w:rPr>
      </w:pPr>
      <m:oMath>
        <m:r>
          <w:rPr>
            <w:rFonts w:ascii="Cambria Math" w:hAnsi="Cambria Math"/>
          </w:rPr>
          <m:t>LQ_benchmark</m:t>
        </m:r>
      </m:oMath>
      <w:r>
        <w:rPr>
          <w:rFonts w:eastAsiaTheme="minorEastAsia"/>
        </w:rPr>
        <w:t xml:space="preserve"> = 1 since the ratio of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iN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den>
            </m:f>
          </m:e>
        </m:d>
      </m:oMath>
      <w:r>
        <w:rPr>
          <w:rFonts w:eastAsiaTheme="minorEastAsia"/>
        </w:rPr>
        <w:t xml:space="preserve"> to itself will always be 1. The purpose of the credibility adjustment is to pull LQ estimates with less underlying data toward the mean, scaled by the degree of the uncertainty. </w:t>
      </w:r>
    </w:p>
    <w:p w14:paraId="06C24469" w14:textId="0A625DF6" w:rsidR="00C63E95" w:rsidRDefault="00C63E95" w:rsidP="00C63E95">
      <w:pPr>
        <w:pStyle w:val="Heading1"/>
        <w:rPr>
          <w:rFonts w:eastAsiaTheme="minorEastAsia"/>
        </w:rPr>
      </w:pPr>
      <w:r>
        <w:rPr>
          <w:rFonts w:eastAsiaTheme="minorEastAsia"/>
        </w:rPr>
        <w:t>Credibility Factor (Z)</w:t>
      </w:r>
    </w:p>
    <w:p w14:paraId="0232F0F8" w14:textId="3431CC1E" w:rsidR="00C63E95" w:rsidRDefault="00C63E95" w:rsidP="00C63E95">
      <w:r>
        <w:t xml:space="preserve">The credibility factor Z is calculated as: </w:t>
      </w:r>
    </w:p>
    <w:p w14:paraId="73D9E3BF" w14:textId="046A1AD6" w:rsidR="00C63E95" w:rsidRPr="00C63E95" w:rsidRDefault="00000000" w:rsidP="00C63E9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+K</m:t>
              </m:r>
            </m:den>
          </m:f>
        </m:oMath>
      </m:oMathPara>
    </w:p>
    <w:p w14:paraId="55DADC92" w14:textId="49B4B0F2" w:rsidR="00C63E95" w:rsidRDefault="00C63E95" w:rsidP="00C63E95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  <w:r>
        <w:rPr>
          <w:rFonts w:eastAsiaTheme="minorEastAsia"/>
        </w:rPr>
        <w:t xml:space="preserve"> is a measure of the number of observations in a region (e.g.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  <w:r>
        <w:rPr>
          <w:rFonts w:eastAsiaTheme="minorEastAsia"/>
        </w:rPr>
        <w:t xml:space="preserve">); and K is a constant reflect the balance between within-region and between-region variance. It is empirically calculated using the Buhlmann formula: </w:t>
      </w:r>
    </w:p>
    <w:p w14:paraId="597F8968" w14:textId="39DB3E7D" w:rsidR="00C63E95" w:rsidRPr="00C63E95" w:rsidRDefault="00C63E95" w:rsidP="00C63E9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EPV</m:t>
              </m:r>
            </m:num>
            <m:den>
              <m:r>
                <w:rPr>
                  <w:rFonts w:ascii="Cambria Math" w:eastAsiaTheme="minorEastAsia" w:hAnsi="Cambria Math"/>
                </w:rPr>
                <m:t>VHM</m:t>
              </m:r>
            </m:den>
          </m:f>
        </m:oMath>
      </m:oMathPara>
    </w:p>
    <w:p w14:paraId="0AC5C260" w14:textId="73636A7D" w:rsidR="00C63E95" w:rsidRDefault="00C63E95" w:rsidP="00C63E95">
      <w:pPr>
        <w:rPr>
          <w:rFonts w:eastAsiaTheme="minorEastAsia"/>
          <w:i/>
          <w:iCs/>
        </w:rPr>
      </w:pPr>
      <w:r>
        <w:rPr>
          <w:rFonts w:eastAsiaTheme="minorEastAsia"/>
        </w:rPr>
        <w:t xml:space="preserve">where EPV is the </w:t>
      </w:r>
      <w:r>
        <w:rPr>
          <w:rFonts w:eastAsiaTheme="minorEastAsia"/>
          <w:i/>
          <w:iCs/>
        </w:rPr>
        <w:t xml:space="preserve">Expected Value of Process Variance, </w:t>
      </w:r>
      <w:r>
        <w:rPr>
          <w:rFonts w:eastAsiaTheme="minorEastAsia"/>
        </w:rPr>
        <w:t xml:space="preserve">and VHM is the </w:t>
      </w:r>
      <w:r>
        <w:rPr>
          <w:rFonts w:eastAsiaTheme="minorEastAsia"/>
          <w:i/>
          <w:iCs/>
        </w:rPr>
        <w:t xml:space="preserve">Variance of Hypothetical Means. </w:t>
      </w:r>
    </w:p>
    <w:p w14:paraId="259D3F02" w14:textId="357C3CB9" w:rsidR="00C63E95" w:rsidRPr="00C63E95" w:rsidRDefault="00C63E95" w:rsidP="00C63E95">
      <w:pPr>
        <w:pStyle w:val="ListParagraph"/>
        <w:numPr>
          <w:ilvl w:val="0"/>
          <w:numId w:val="20"/>
        </w:numPr>
        <w:rPr>
          <w:rFonts w:eastAsiaTheme="minorEastAsia"/>
          <w:i/>
          <w:iCs/>
        </w:rPr>
      </w:pPr>
      <w:r>
        <w:rPr>
          <w:rFonts w:eastAsiaTheme="minorEastAsia"/>
          <w:b/>
          <w:bCs/>
        </w:rPr>
        <w:t xml:space="preserve">EPV </w:t>
      </w:r>
      <w:r>
        <w:rPr>
          <w:rFonts w:eastAsiaTheme="minorEastAsia"/>
        </w:rPr>
        <w:t xml:space="preserve">measures the average variability </w:t>
      </w:r>
      <w:r>
        <w:rPr>
          <w:rFonts w:eastAsiaTheme="minorEastAsia"/>
          <w:i/>
          <w:iCs/>
        </w:rPr>
        <w:t xml:space="preserve">within regions </w:t>
      </w:r>
      <w:r>
        <w:rPr>
          <w:rFonts w:eastAsiaTheme="minorEastAsia"/>
        </w:rPr>
        <w:t>in the proportions of enterprises across industries</w:t>
      </w:r>
      <w:r w:rsidR="00404420">
        <w:rPr>
          <w:rFonts w:eastAsiaTheme="minorEastAsia"/>
        </w:rPr>
        <w:t xml:space="preserve"> due to random chance</w:t>
      </w:r>
      <w:r>
        <w:rPr>
          <w:rFonts w:eastAsiaTheme="minorEastAsia"/>
        </w:rPr>
        <w:t>. It quantifies how much industry proportions in a region might fluctuate purely because of random sampling variability. A higher EPV suggests that observed differences within regions are largely due to randomness, not systematic factors.</w:t>
      </w:r>
    </w:p>
    <w:p w14:paraId="032EBDC8" w14:textId="67951C24" w:rsidR="00C63E95" w:rsidRPr="00404420" w:rsidRDefault="00C63E95" w:rsidP="00C63E95">
      <w:pPr>
        <w:pStyle w:val="ListParagraph"/>
        <w:numPr>
          <w:ilvl w:val="0"/>
          <w:numId w:val="20"/>
        </w:numPr>
        <w:rPr>
          <w:rFonts w:eastAsiaTheme="minorEastAsia"/>
          <w:i/>
          <w:iCs/>
        </w:rPr>
      </w:pPr>
      <w:r>
        <w:rPr>
          <w:rFonts w:eastAsiaTheme="minorEastAsia"/>
          <w:b/>
          <w:bCs/>
        </w:rPr>
        <w:t xml:space="preserve">VHM </w:t>
      </w:r>
      <w:r w:rsidR="00404420">
        <w:rPr>
          <w:rFonts w:eastAsiaTheme="minorEastAsia"/>
        </w:rPr>
        <w:t xml:space="preserve">measures the variability </w:t>
      </w:r>
      <w:r w:rsidR="00404420">
        <w:rPr>
          <w:rFonts w:eastAsiaTheme="minorEastAsia"/>
          <w:i/>
          <w:iCs/>
        </w:rPr>
        <w:t xml:space="preserve">between regions </w:t>
      </w:r>
      <w:r w:rsidR="00404420">
        <w:rPr>
          <w:rFonts w:eastAsiaTheme="minorEastAsia"/>
        </w:rPr>
        <w:t xml:space="preserve">in the true proportions of enterprises in each industry. It captures real differences in industry composition across regions. A higher VHM indicates significant disparities in industry concentrations among regions, reflecting actual regional specialization. </w:t>
      </w:r>
    </w:p>
    <w:p w14:paraId="77E55B73" w14:textId="38CC4F49" w:rsidR="00404420" w:rsidRPr="00404420" w:rsidRDefault="00404420" w:rsidP="00404420">
      <w:pPr>
        <w:pStyle w:val="ListParagraph"/>
        <w:numPr>
          <w:ilvl w:val="0"/>
          <w:numId w:val="20"/>
        </w:numPr>
        <w:rPr>
          <w:rFonts w:eastAsiaTheme="minorEastAsia"/>
          <w:i/>
          <w:iCs/>
        </w:rPr>
      </w:pPr>
      <w:r>
        <w:rPr>
          <w:rFonts w:eastAsiaTheme="minorEastAsia"/>
          <w:b/>
          <w:bCs/>
        </w:rPr>
        <w:t xml:space="preserve">K </w:t>
      </w:r>
      <w:r>
        <w:rPr>
          <w:rFonts w:eastAsiaTheme="minorEastAsia"/>
        </w:rPr>
        <w:t xml:space="preserve">balances that weight between regional data and benchmark data in the credibility adjustment. If K is high (EPV &gt; VHM), random variability within regions dominates, meaning regional data is </w:t>
      </w:r>
      <w:r>
        <w:rPr>
          <w:rFonts w:eastAsiaTheme="minorEastAsia"/>
        </w:rPr>
        <w:lastRenderedPageBreak/>
        <w:t xml:space="preserve">less credible and low weight is given to traditional LQs. If K is low (VHM &gt; EPV), systematic differences between regions dominate, meaning regional data is more credible and more weight is given to regional LQs. With the formula for credibility factor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  <w:r>
        <w:rPr>
          <w:rFonts w:eastAsiaTheme="minorEastAsia"/>
        </w:rPr>
        <w:t xml:space="preserve"> in mind, as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is higher,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→1</m:t>
        </m:r>
      </m:oMath>
      <w:r>
        <w:rPr>
          <w:rFonts w:eastAsiaTheme="minorEastAsia"/>
        </w:rPr>
        <w:t xml:space="preserve">, meaning regional LQs are trusted more. As K is lower,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→0</m:t>
        </m:r>
      </m:oMath>
      <w:r>
        <w:rPr>
          <w:rFonts w:eastAsiaTheme="minorEastAsia"/>
        </w:rPr>
        <w:t xml:space="preserve">, meaning regional LQs are trusted less. </w:t>
      </w:r>
    </w:p>
    <w:p w14:paraId="063132E5" w14:textId="47FA759D" w:rsidR="00404420" w:rsidRDefault="00404420" w:rsidP="00404420">
      <w:pPr>
        <w:pStyle w:val="Heading1"/>
      </w:pPr>
      <w:r>
        <w:t>Expected Value of Process Variance (EPV)</w:t>
      </w:r>
    </w:p>
    <w:p w14:paraId="17AB9D85" w14:textId="295060C1" w:rsidR="00404420" w:rsidRDefault="00404420" w:rsidP="00404420">
      <w:r>
        <w:t>EPV measures the average variability within regions, calculated by the following steps.</w:t>
      </w:r>
    </w:p>
    <w:p w14:paraId="11FF25AE" w14:textId="739FE665" w:rsidR="00404420" w:rsidRPr="00BF7089" w:rsidRDefault="00404420" w:rsidP="00404420">
      <w:pPr>
        <w:pStyle w:val="ListParagraph"/>
        <w:numPr>
          <w:ilvl w:val="0"/>
          <w:numId w:val="22"/>
        </w:numPr>
      </w:pPr>
      <w:r>
        <w:t xml:space="preserve">The proportion of each industry in each region is calculated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ir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ir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den>
        </m:f>
      </m:oMath>
      <w:r w:rsidR="00802624">
        <w:rPr>
          <w:rFonts w:eastAsiaTheme="minorEastAsia"/>
        </w:rPr>
        <w:t>.</w:t>
      </w:r>
    </w:p>
    <w:p w14:paraId="619C8467" w14:textId="74305B35" w:rsidR="00BF7089" w:rsidRPr="00404420" w:rsidRDefault="00BF7089" w:rsidP="00404420">
      <w:pPr>
        <w:pStyle w:val="ListParagraph"/>
        <w:numPr>
          <w:ilvl w:val="0"/>
          <w:numId w:val="22"/>
        </w:numPr>
      </w:pPr>
      <w:r>
        <w:rPr>
          <w:rFonts w:eastAsiaTheme="minorEastAsia"/>
        </w:rPr>
        <w:t xml:space="preserve">Compute the variance of these proportions </w:t>
      </w:r>
      <m:oMath>
        <m:r>
          <w:rPr>
            <w:rFonts w:ascii="Cambria Math" w:eastAsiaTheme="minorEastAsia" w:hAnsi="Cambria Math"/>
          </w:rPr>
          <m:t>≈var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ir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</m:t>
                </m:r>
              </m:sub>
            </m:sSub>
          </m:sub>
        </m:sSub>
      </m:oMath>
    </w:p>
    <w:p w14:paraId="0717656A" w14:textId="3FC5A53C" w:rsidR="00404420" w:rsidRDefault="00802624" w:rsidP="00404420">
      <w:pPr>
        <w:pStyle w:val="ListParagraph"/>
        <w:numPr>
          <w:ilvl w:val="0"/>
          <w:numId w:val="22"/>
        </w:numPr>
      </w:pPr>
      <w:r>
        <w:t xml:space="preserve">EPV is then the average </w:t>
      </w:r>
      <w:r w:rsidR="00BF7089">
        <w:t>within-region variance of proportions</w:t>
      </w:r>
      <w:r>
        <w:t xml:space="preserve">: </w:t>
      </w:r>
      <m:oMath>
        <m:r>
          <w:rPr>
            <w:rFonts w:ascii="Cambria Math" w:hAnsi="Cambria Math"/>
          </w:rPr>
          <m:t>EPV=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  <m:r>
          <w:rPr>
            <w:rFonts w:ascii="Cambria Math" w:hAnsi="Cambria Math"/>
          </w:rPr>
          <m:t>∑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sub>
        </m:sSub>
      </m:oMath>
    </w:p>
    <w:p w14:paraId="19D73D8B" w14:textId="61D52568" w:rsidR="00802624" w:rsidRDefault="00802624" w:rsidP="00802624">
      <w:pPr>
        <w:pStyle w:val="Heading1"/>
        <w:rPr>
          <w:rFonts w:eastAsiaTheme="minorEastAsia"/>
        </w:rPr>
      </w:pPr>
      <w:r>
        <w:rPr>
          <w:rFonts w:eastAsiaTheme="minorEastAsia"/>
        </w:rPr>
        <w:t>Variance of Hypothetical Means (VHM)</w:t>
      </w:r>
    </w:p>
    <w:p w14:paraId="78FC331F" w14:textId="13C7320E" w:rsidR="00802624" w:rsidRDefault="00802624" w:rsidP="00802624">
      <w:r>
        <w:t xml:space="preserve">VHM measures the variability </w:t>
      </w:r>
      <w:r>
        <w:rPr>
          <w:i/>
          <w:iCs/>
        </w:rPr>
        <w:t>between regions</w:t>
      </w:r>
      <w:r>
        <w:t xml:space="preserve">, calculated as: </w:t>
      </w:r>
    </w:p>
    <w:p w14:paraId="09372BAD" w14:textId="16BDFE1C" w:rsidR="00802624" w:rsidRPr="00802624" w:rsidRDefault="00802624" w:rsidP="00802624">
      <w:pPr>
        <w:pStyle w:val="ListParagraph"/>
        <w:numPr>
          <w:ilvl w:val="0"/>
          <w:numId w:val="24"/>
        </w:numPr>
      </w:pPr>
      <w:r>
        <w:t xml:space="preserve">Estimate average proportion for each industry: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r=1</m:t>
            </m:r>
          </m:sub>
          <m:sup>
            <m:r>
              <w:rPr>
                <w:rFonts w:ascii="Cambria Math" w:hAnsi="Cambria Math"/>
              </w:rPr>
              <m:t>R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ir</m:t>
                </m:r>
              </m:sub>
            </m:sSub>
          </m:e>
        </m:nary>
      </m:oMath>
    </w:p>
    <w:p w14:paraId="68B1CC9E" w14:textId="44E41EAC" w:rsidR="00802624" w:rsidRPr="00802624" w:rsidRDefault="00802624" w:rsidP="00802624">
      <w:pPr>
        <w:pStyle w:val="ListParagraph"/>
        <w:numPr>
          <w:ilvl w:val="0"/>
          <w:numId w:val="24"/>
        </w:numPr>
      </w:pPr>
      <w:r>
        <w:rPr>
          <w:rFonts w:eastAsiaTheme="minorEastAsia"/>
        </w:rPr>
        <w:t xml:space="preserve">Compute variance across regions for each industry: </w:t>
      </w:r>
      <m:oMath>
        <m:r>
          <w:rPr>
            <w:rFonts w:ascii="Cambria Math" w:eastAsiaTheme="minorEastAsia" w:hAnsi="Cambria Math"/>
          </w:rPr>
          <m:t>Var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R-1</m:t>
            </m:r>
          </m:den>
        </m:f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r=1</m:t>
            </m:r>
          </m:sub>
          <m:sup>
            <m:r>
              <w:rPr>
                <w:rFonts w:ascii="Cambria Math" w:eastAsiaTheme="minorEastAsia" w:hAnsi="Cambria Math"/>
              </w:rPr>
              <m:t>R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ir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</m:acc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</m:oMath>
      <w:r>
        <w:rPr>
          <w:rFonts w:eastAsiaTheme="minorEastAsia"/>
        </w:rPr>
        <w:t>.</w:t>
      </w:r>
    </w:p>
    <w:p w14:paraId="1750EDC2" w14:textId="74DF6B6F" w:rsidR="00802624" w:rsidRPr="00802624" w:rsidRDefault="00802624" w:rsidP="00802624">
      <w:pPr>
        <w:pStyle w:val="ListParagraph"/>
        <w:numPr>
          <w:ilvl w:val="0"/>
          <w:numId w:val="24"/>
        </w:numPr>
      </w:pPr>
      <w:r>
        <w:rPr>
          <w:rFonts w:eastAsiaTheme="minorEastAsia"/>
        </w:rPr>
        <w:t xml:space="preserve">Calculate VHM: </w:t>
      </w:r>
    </w:p>
    <w:p w14:paraId="48518364" w14:textId="586659A4" w:rsidR="00802624" w:rsidRPr="00802624" w:rsidRDefault="00802624" w:rsidP="00802624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VHM=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  <m:e>
              <m:r>
                <w:rPr>
                  <w:rFonts w:ascii="Cambria Math" w:hAnsi="Cambria Math"/>
                </w:rPr>
                <m:t>Var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630B97E1" w14:textId="03B90C35" w:rsidR="00802624" w:rsidRDefault="00802624" w:rsidP="00802624">
      <w:pPr>
        <w:pStyle w:val="Heading1"/>
      </w:pPr>
      <w:r>
        <w:t xml:space="preserve">Calculate the Credibility Factor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</w:p>
    <w:p w14:paraId="49E00230" w14:textId="3BAAD9DD" w:rsidR="00802624" w:rsidRDefault="00802624" w:rsidP="00802624">
      <w:pPr>
        <w:rPr>
          <w:rFonts w:eastAsiaTheme="minorEastAsia"/>
        </w:rPr>
      </w:pPr>
      <w:r>
        <w:t xml:space="preserve">Use EPV and VHM to get the constant K: </w:t>
      </w:r>
      <m:oMath>
        <m:r>
          <w:rPr>
            <w:rFonts w:ascii="Cambria Math" w:hAnsi="Cambria Math"/>
          </w:rPr>
          <m:t>K=EPV/VHM</m:t>
        </m:r>
      </m:oMath>
      <w:r>
        <w:rPr>
          <w:rFonts w:eastAsiaTheme="minorEastAsia"/>
        </w:rPr>
        <w:t xml:space="preserve"> and plug that into the credibility formula for each region: </w:t>
      </w:r>
    </w:p>
    <w:p w14:paraId="2C5BFF6D" w14:textId="35E81B08" w:rsidR="00802624" w:rsidRPr="00802624" w:rsidRDefault="00000000" w:rsidP="0080262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+K</m:t>
              </m:r>
            </m:den>
          </m:f>
        </m:oMath>
      </m:oMathPara>
    </w:p>
    <w:p w14:paraId="0313D531" w14:textId="66AD7B90" w:rsidR="00802624" w:rsidRDefault="00802624" w:rsidP="00802624">
      <w:pPr>
        <w:rPr>
          <w:rFonts w:eastAsiaTheme="minorEastAsia"/>
        </w:rPr>
      </w:pPr>
      <w:r>
        <w:rPr>
          <w:rFonts w:eastAsiaTheme="minorEastAsia"/>
        </w:rPr>
        <w:t xml:space="preserve">We can then compute the credibility-adjusted LQ for each industry and region: </w:t>
      </w:r>
    </w:p>
    <w:p w14:paraId="0E625F80" w14:textId="46B438B7" w:rsidR="00802624" w:rsidRPr="00802624" w:rsidRDefault="00802624" w:rsidP="0080262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ir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⋅L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ir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d>
          <m:r>
            <w:rPr>
              <w:rFonts w:ascii="Cambria Math" w:hAnsi="Cambria Math"/>
            </w:rPr>
            <m:t>⋅L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benchmark</m:t>
              </m:r>
            </m:sub>
          </m:sSub>
        </m:oMath>
      </m:oMathPara>
    </w:p>
    <w:p w14:paraId="5C2DA40B" w14:textId="6E701BC9" w:rsidR="00802624" w:rsidRPr="00802624" w:rsidRDefault="00802624" w:rsidP="0080262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ir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⋅L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ir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d>
        </m:oMath>
      </m:oMathPara>
    </w:p>
    <w:p w14:paraId="7B378186" w14:textId="77777777" w:rsidR="00802624" w:rsidRPr="00802624" w:rsidRDefault="00802624" w:rsidP="00802624"/>
    <w:p w14:paraId="48D4F40E" w14:textId="77777777" w:rsidR="00802624" w:rsidRPr="00802624" w:rsidRDefault="00802624" w:rsidP="00802624">
      <w:pPr>
        <w:rPr>
          <w:rFonts w:eastAsiaTheme="minorEastAsia"/>
          <w:i/>
          <w:iCs/>
        </w:rPr>
      </w:pPr>
    </w:p>
    <w:p w14:paraId="39AAC111" w14:textId="77777777" w:rsidR="00802624" w:rsidRDefault="00802624" w:rsidP="00802624">
      <w:pPr>
        <w:pStyle w:val="Heading1"/>
        <w:rPr>
          <w:rFonts w:eastAsiaTheme="minorEastAsia"/>
        </w:rPr>
      </w:pPr>
      <w:r>
        <w:rPr>
          <w:rFonts w:eastAsiaTheme="minorEastAsia"/>
        </w:rPr>
        <w:lastRenderedPageBreak/>
        <w:t>Assumptions</w:t>
      </w:r>
    </w:p>
    <w:p w14:paraId="66BD711B" w14:textId="77777777" w:rsidR="00802624" w:rsidRPr="00802624" w:rsidRDefault="00802624" w:rsidP="00802624">
      <w:pPr>
        <w:pStyle w:val="ListParagraph"/>
        <w:numPr>
          <w:ilvl w:val="0"/>
          <w:numId w:val="21"/>
        </w:numPr>
      </w:pPr>
      <w:r>
        <w:rPr>
          <w:b/>
          <w:bCs/>
        </w:rPr>
        <w:t xml:space="preserve">Multinomial Distribution: </w:t>
      </w:r>
      <w:r>
        <w:t xml:space="preserve">each enterprise belongs to exactly one industry. The distribution of enterprises across industries follows a multinomial distribution. For each region </w:t>
      </w:r>
      <m:oMath>
        <m:r>
          <w:rPr>
            <w:rFonts w:ascii="Cambria Math" w:hAnsi="Cambria Math"/>
          </w:rPr>
          <m:t>r</m:t>
        </m:r>
      </m:oMath>
      <w:r>
        <w:rPr>
          <w:rFonts w:eastAsiaTheme="minorEastAsia"/>
        </w:rPr>
        <w:t xml:space="preserve">, the counts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ir</m:t>
            </m:r>
          </m:sub>
        </m:sSub>
      </m:oMath>
      <w:r>
        <w:rPr>
          <w:rFonts w:eastAsiaTheme="minorEastAsia"/>
        </w:rPr>
        <w:t xml:space="preserve"> are multinomially distributed with total count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  <w:r>
        <w:rPr>
          <w:rFonts w:eastAsiaTheme="minorEastAsia"/>
        </w:rPr>
        <w:t xml:space="preserve"> and probabilities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ir</m:t>
            </m:r>
          </m:sub>
        </m:sSub>
        <m:r>
          <w:rPr>
            <w:rFonts w:ascii="Cambria Math" w:eastAsiaTheme="minorEastAsia" w:hAnsi="Cambria Math"/>
          </w:rPr>
          <m:t>/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  <w:r>
        <w:rPr>
          <w:rFonts w:eastAsiaTheme="minorEastAsia"/>
        </w:rPr>
        <w:t xml:space="preserve">. The counts of enterprises across industries in a region follow a multinomial distribution. The probability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ir</m:t>
            </m:r>
          </m:sub>
        </m:sSub>
      </m:oMath>
      <w:r>
        <w:rPr>
          <w:rFonts w:eastAsiaTheme="minorEastAsia"/>
        </w:rPr>
        <w:t xml:space="preserve"> represents the likelihood of an enterprise being in industry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, within region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. </w:t>
      </w:r>
    </w:p>
    <w:p w14:paraId="0CA9010A" w14:textId="77777777" w:rsidR="00802624" w:rsidRDefault="00802624" w:rsidP="00802624">
      <w:pPr>
        <w:pStyle w:val="ListParagraph"/>
        <w:numPr>
          <w:ilvl w:val="0"/>
          <w:numId w:val="21"/>
        </w:numPr>
      </w:pPr>
      <w:r>
        <w:rPr>
          <w:b/>
          <w:bCs/>
        </w:rPr>
        <w:t xml:space="preserve">Independence of Regions: </w:t>
      </w:r>
      <w:r>
        <w:t>enterprise distributions are independent across regions.</w:t>
      </w:r>
    </w:p>
    <w:p w14:paraId="4A998325" w14:textId="77777777" w:rsidR="00802624" w:rsidRPr="00404420" w:rsidRDefault="00802624" w:rsidP="00802624">
      <w:pPr>
        <w:pStyle w:val="ListParagraph"/>
        <w:numPr>
          <w:ilvl w:val="0"/>
          <w:numId w:val="21"/>
        </w:numPr>
      </w:pPr>
      <w:r>
        <w:rPr>
          <w:b/>
          <w:bCs/>
        </w:rPr>
        <w:t>Homogeneity of Process Variance:</w:t>
      </w:r>
      <w:r>
        <w:t xml:space="preserve"> </w:t>
      </w:r>
      <w:r w:rsidRPr="00802624">
        <w:t>the variance within regions (EPV) is assumed to be similar across all regions and industries.</w:t>
      </w:r>
      <w:r>
        <w:rPr>
          <w:b/>
          <w:bCs/>
        </w:rPr>
        <w:t xml:space="preserve"> </w:t>
      </w:r>
    </w:p>
    <w:p w14:paraId="119057AE" w14:textId="77777777" w:rsidR="00C63E95" w:rsidRPr="00C63E95" w:rsidRDefault="00C63E95" w:rsidP="00C63E95"/>
    <w:sectPr w:rsidR="00C63E95" w:rsidRPr="00C63E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34394"/>
    <w:multiLevelType w:val="multilevel"/>
    <w:tmpl w:val="B4689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7A1E39"/>
    <w:multiLevelType w:val="multilevel"/>
    <w:tmpl w:val="45A07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7121CF"/>
    <w:multiLevelType w:val="hybridMultilevel"/>
    <w:tmpl w:val="1E3AF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B5346E"/>
    <w:multiLevelType w:val="multilevel"/>
    <w:tmpl w:val="22E2B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780ED2"/>
    <w:multiLevelType w:val="multilevel"/>
    <w:tmpl w:val="5CF8F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1A2567"/>
    <w:multiLevelType w:val="multilevel"/>
    <w:tmpl w:val="327C1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AA464B"/>
    <w:multiLevelType w:val="multilevel"/>
    <w:tmpl w:val="CE705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C40098"/>
    <w:multiLevelType w:val="hybridMultilevel"/>
    <w:tmpl w:val="236AD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7D2137"/>
    <w:multiLevelType w:val="hybridMultilevel"/>
    <w:tmpl w:val="A2B8FF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3A4620"/>
    <w:multiLevelType w:val="multilevel"/>
    <w:tmpl w:val="EED26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F82AEE"/>
    <w:multiLevelType w:val="multilevel"/>
    <w:tmpl w:val="69E84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426ADF"/>
    <w:multiLevelType w:val="multilevel"/>
    <w:tmpl w:val="534E4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152FA4"/>
    <w:multiLevelType w:val="multilevel"/>
    <w:tmpl w:val="B46CF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4B555C"/>
    <w:multiLevelType w:val="multilevel"/>
    <w:tmpl w:val="E6F01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DE94DFC"/>
    <w:multiLevelType w:val="multilevel"/>
    <w:tmpl w:val="25441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8F087C"/>
    <w:multiLevelType w:val="hybridMultilevel"/>
    <w:tmpl w:val="BFAA81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A34A4D"/>
    <w:multiLevelType w:val="hybridMultilevel"/>
    <w:tmpl w:val="87C03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C27AC2"/>
    <w:multiLevelType w:val="hybridMultilevel"/>
    <w:tmpl w:val="19B6B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3E3E02"/>
    <w:multiLevelType w:val="hybridMultilevel"/>
    <w:tmpl w:val="50682CD4"/>
    <w:lvl w:ilvl="0" w:tplc="DD08075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E229B5"/>
    <w:multiLevelType w:val="multilevel"/>
    <w:tmpl w:val="6A0A7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C86AE6"/>
    <w:multiLevelType w:val="multilevel"/>
    <w:tmpl w:val="9FCA7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8A2B37"/>
    <w:multiLevelType w:val="multilevel"/>
    <w:tmpl w:val="1C10D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BC707D6"/>
    <w:multiLevelType w:val="hybridMultilevel"/>
    <w:tmpl w:val="C7C461D8"/>
    <w:lvl w:ilvl="0" w:tplc="A1B29D5E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E83710"/>
    <w:multiLevelType w:val="hybridMultilevel"/>
    <w:tmpl w:val="62061724"/>
    <w:lvl w:ilvl="0" w:tplc="5C9669F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4883740">
    <w:abstractNumId w:val="23"/>
  </w:num>
  <w:num w:numId="2" w16cid:durableId="1686787154">
    <w:abstractNumId w:val="2"/>
  </w:num>
  <w:num w:numId="3" w16cid:durableId="312374043">
    <w:abstractNumId w:val="9"/>
  </w:num>
  <w:num w:numId="4" w16cid:durableId="722869886">
    <w:abstractNumId w:val="12"/>
  </w:num>
  <w:num w:numId="5" w16cid:durableId="882863871">
    <w:abstractNumId w:val="4"/>
  </w:num>
  <w:num w:numId="6" w16cid:durableId="470363483">
    <w:abstractNumId w:val="5"/>
  </w:num>
  <w:num w:numId="7" w16cid:durableId="627471537">
    <w:abstractNumId w:val="13"/>
  </w:num>
  <w:num w:numId="8" w16cid:durableId="1242443512">
    <w:abstractNumId w:val="0"/>
  </w:num>
  <w:num w:numId="9" w16cid:durableId="48000884">
    <w:abstractNumId w:val="11"/>
  </w:num>
  <w:num w:numId="10" w16cid:durableId="1272476621">
    <w:abstractNumId w:val="3"/>
  </w:num>
  <w:num w:numId="11" w16cid:durableId="901215935">
    <w:abstractNumId w:val="14"/>
  </w:num>
  <w:num w:numId="12" w16cid:durableId="770517982">
    <w:abstractNumId w:val="19"/>
  </w:num>
  <w:num w:numId="13" w16cid:durableId="121963799">
    <w:abstractNumId w:val="6"/>
  </w:num>
  <w:num w:numId="14" w16cid:durableId="805701871">
    <w:abstractNumId w:val="21"/>
  </w:num>
  <w:num w:numId="15" w16cid:durableId="1204053339">
    <w:abstractNumId w:val="20"/>
  </w:num>
  <w:num w:numId="16" w16cid:durableId="1114137706">
    <w:abstractNumId w:val="10"/>
  </w:num>
  <w:num w:numId="17" w16cid:durableId="2134982951">
    <w:abstractNumId w:val="1"/>
  </w:num>
  <w:num w:numId="18" w16cid:durableId="450518047">
    <w:abstractNumId w:val="22"/>
  </w:num>
  <w:num w:numId="19" w16cid:durableId="877620865">
    <w:abstractNumId w:val="17"/>
  </w:num>
  <w:num w:numId="20" w16cid:durableId="176236622">
    <w:abstractNumId w:val="18"/>
  </w:num>
  <w:num w:numId="21" w16cid:durableId="744956306">
    <w:abstractNumId w:val="7"/>
  </w:num>
  <w:num w:numId="22" w16cid:durableId="626468317">
    <w:abstractNumId w:val="8"/>
  </w:num>
  <w:num w:numId="23" w16cid:durableId="1978947544">
    <w:abstractNumId w:val="16"/>
  </w:num>
  <w:num w:numId="24" w16cid:durableId="58118584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224"/>
    <w:rsid w:val="00052D66"/>
    <w:rsid w:val="0008213E"/>
    <w:rsid w:val="00404420"/>
    <w:rsid w:val="00455DC1"/>
    <w:rsid w:val="004574FF"/>
    <w:rsid w:val="005F7224"/>
    <w:rsid w:val="00802624"/>
    <w:rsid w:val="009B4684"/>
    <w:rsid w:val="00A462ED"/>
    <w:rsid w:val="00A966F0"/>
    <w:rsid w:val="00B676FC"/>
    <w:rsid w:val="00BF7089"/>
    <w:rsid w:val="00C63E95"/>
    <w:rsid w:val="00E017CB"/>
    <w:rsid w:val="00F85CED"/>
    <w:rsid w:val="00FA7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6DCD3"/>
  <w15:chartTrackingRefBased/>
  <w15:docId w15:val="{51BC9D0E-8104-4B18-9BDF-61906963A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66F0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72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72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72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72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72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72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72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72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72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2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72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72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72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72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72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72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72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72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72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72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72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72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72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72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72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72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72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72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7224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F85CED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FA7BF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7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640</Words>
  <Characters>3650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Shultz</dc:creator>
  <cp:keywords/>
  <dc:description/>
  <cp:lastModifiedBy>Christopher Shultz</cp:lastModifiedBy>
  <cp:revision>5</cp:revision>
  <dcterms:created xsi:type="dcterms:W3CDTF">2024-09-27T19:04:00Z</dcterms:created>
  <dcterms:modified xsi:type="dcterms:W3CDTF">2024-09-29T14:49:00Z</dcterms:modified>
</cp:coreProperties>
</file>