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C6259" w14:textId="282D3FA8" w:rsidR="00AE3587" w:rsidRDefault="00AE3587" w:rsidP="00C63E95">
      <w:pPr>
        <w:pStyle w:val="Heading1"/>
      </w:pPr>
      <w:r>
        <w:t>Detailed Overview of Framework</w:t>
      </w:r>
    </w:p>
    <w:p w14:paraId="0B6E40ED" w14:textId="1D813E2A" w:rsidR="00AE3587" w:rsidRDefault="00AE3587" w:rsidP="00AE3587">
      <w:r>
        <w:t xml:space="preserve">The </w:t>
      </w:r>
      <w:r>
        <w:rPr>
          <w:b/>
          <w:bCs/>
        </w:rPr>
        <w:t xml:space="preserve">location quotient (LQ) </w:t>
      </w:r>
      <w:r>
        <w:t xml:space="preserve">measures the concentration of an industry in a region compared to some benchmark region. </w:t>
      </w:r>
    </w:p>
    <w:p w14:paraId="5C6CBF80" w14:textId="77777777" w:rsidR="00AE3587" w:rsidRPr="00C63E95" w:rsidRDefault="00AE3587" w:rsidP="00AE3587">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ir</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ir</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m:t>
                      </m:r>
                    </m:sub>
                  </m:sSub>
                </m:num>
                <m:den>
                  <m:sSub>
                    <m:sSubPr>
                      <m:ctrlPr>
                        <w:rPr>
                          <w:rFonts w:ascii="Cambria Math" w:hAnsi="Cambria Math"/>
                          <w:i/>
                        </w:rPr>
                      </m:ctrlPr>
                    </m:sSubPr>
                    <m:e>
                      <m:r>
                        <w:rPr>
                          <w:rFonts w:ascii="Cambria Math" w:hAnsi="Cambria Math"/>
                        </w:rPr>
                        <m:t>E</m:t>
                      </m:r>
                    </m:e>
                    <m:sub>
                      <m:r>
                        <w:rPr>
                          <w:rFonts w:ascii="Cambria Math" w:hAnsi="Cambria Math"/>
                        </w:rPr>
                        <m:t>N</m:t>
                      </m:r>
                    </m:sub>
                  </m:sSub>
                </m:den>
              </m:f>
            </m:e>
          </m:d>
        </m:oMath>
      </m:oMathPara>
    </w:p>
    <w:p w14:paraId="34E20962" w14:textId="51E46435" w:rsidR="00AE3587" w:rsidRDefault="00AE3587" w:rsidP="00AE3587">
      <w:pPr>
        <w:rPr>
          <w:rFonts w:eastAsiaTheme="minorEastAsia"/>
        </w:rPr>
      </w:pPr>
      <w:r>
        <w:t xml:space="preserve">where </w:t>
      </w:r>
      <m:oMath>
        <m:r>
          <w:rPr>
            <w:rFonts w:ascii="Cambria Math" w:hAnsi="Cambria Math"/>
          </w:rPr>
          <m:t>E</m:t>
        </m:r>
      </m:oMath>
      <w:r>
        <w:rPr>
          <w:rFonts w:eastAsiaTheme="minorEastAsia"/>
        </w:rPr>
        <w:t xml:space="preserve"> is the number of establishments </w:t>
      </w:r>
      <w:proofErr w:type="gramStart"/>
      <w:r>
        <w:rPr>
          <w:rFonts w:eastAsiaTheme="minorEastAsia"/>
        </w:rPr>
        <w:t>in a given</w:t>
      </w:r>
      <w:proofErr w:type="gramEnd"/>
      <w:r>
        <w:rPr>
          <w:rFonts w:eastAsiaTheme="minorEastAsia"/>
        </w:rPr>
        <w:t xml:space="preserve"> industry (</w:t>
      </w:r>
      <m:oMath>
        <m:r>
          <w:rPr>
            <w:rFonts w:ascii="Cambria Math" w:eastAsiaTheme="minorEastAsia" w:hAnsi="Cambria Math"/>
          </w:rPr>
          <m:t>i</m:t>
        </m:r>
      </m:oMath>
      <w:r>
        <w:rPr>
          <w:rFonts w:eastAsiaTheme="minorEastAsia"/>
        </w:rPr>
        <w:t>) and/or region (</w:t>
      </w:r>
      <m:oMath>
        <m:r>
          <w:rPr>
            <w:rFonts w:ascii="Cambria Math" w:eastAsiaTheme="minorEastAsia" w:hAnsi="Cambria Math"/>
          </w:rPr>
          <m:t>r</m:t>
        </m:r>
      </m:oMath>
      <w:r>
        <w:rPr>
          <w:rFonts w:eastAsiaTheme="minorEastAsia"/>
        </w:rPr>
        <w:t xml:space="preserve">). The region </w:t>
      </w:r>
      <m:oMath>
        <m:r>
          <w:rPr>
            <w:rFonts w:ascii="Cambria Math" w:eastAsiaTheme="minorEastAsia" w:hAnsi="Cambria Math"/>
          </w:rPr>
          <m:t>N</m:t>
        </m:r>
      </m:oMath>
      <w:r>
        <w:rPr>
          <w:rFonts w:eastAsiaTheme="minorEastAsia"/>
        </w:rPr>
        <w:t xml:space="preserve"> is the benchmark region overall (entire US). Prior studies indicate that estimated LQs may be unstable, particularly in low-exposure regions. </w:t>
      </w:r>
    </w:p>
    <w:p w14:paraId="10BB0CCE" w14:textId="7972831D" w:rsidR="00AE3587" w:rsidRDefault="00AE3587" w:rsidP="00AE3587">
      <w:pPr>
        <w:rPr>
          <w:rFonts w:eastAsiaTheme="minorEastAsia"/>
        </w:rPr>
      </w:pPr>
      <w:r>
        <w:rPr>
          <w:rFonts w:eastAsiaTheme="minorEastAsia"/>
        </w:rPr>
        <w:t xml:space="preserve">We can adjust the LQ using the </w:t>
      </w:r>
      <w:r>
        <w:rPr>
          <w:rFonts w:eastAsiaTheme="minorEastAsia"/>
          <w:b/>
          <w:bCs/>
        </w:rPr>
        <w:t xml:space="preserve">Buhlmann credibility factor </w:t>
      </w:r>
      <m:oMath>
        <m:r>
          <w:rPr>
            <w:rFonts w:ascii="Cambria Math" w:eastAsiaTheme="minorEastAsia" w:hAnsi="Cambria Math"/>
          </w:rPr>
          <m:t>(Z)</m:t>
        </m:r>
      </m:oMath>
      <w:r>
        <w:rPr>
          <w:rFonts w:eastAsiaTheme="minorEastAsia"/>
        </w:rPr>
        <w:t xml:space="preserve">: </w:t>
      </w:r>
      <m:oMath>
        <m:r>
          <w:rPr>
            <w:rFonts w:ascii="Cambria Math" w:eastAsiaTheme="minorEastAsia" w:hAnsi="Cambria Math"/>
          </w:rPr>
          <m:t>L</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ir</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bench</m:t>
            </m:r>
          </m:sub>
        </m:sSub>
      </m:oMath>
      <w:r>
        <w:rPr>
          <w:rFonts w:eastAsiaTheme="minorEastAsia"/>
        </w:rPr>
        <w:t xml:space="preserve">. The value of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bench</m:t>
            </m:r>
          </m:sub>
        </m:sSub>
      </m:oMath>
      <w:r>
        <w:rPr>
          <w:rFonts w:eastAsiaTheme="minorEastAsia"/>
        </w:rPr>
        <w:t xml:space="preserve"> will always be 1, since </w:t>
      </w:r>
      <w:proofErr w:type="gramStart"/>
      <w:r>
        <w:rPr>
          <w:rFonts w:eastAsiaTheme="minorEastAsia"/>
        </w:rPr>
        <w:t>the we’re</w:t>
      </w:r>
      <w:proofErr w:type="gramEnd"/>
      <w:r>
        <w:rPr>
          <w:rFonts w:eastAsiaTheme="minorEastAsia"/>
        </w:rPr>
        <w:t xml:space="preserve"> examining the ratio of the benchmark region to itself, meaning the adjustment collapses to: </w:t>
      </w:r>
    </w:p>
    <w:p w14:paraId="27D24410" w14:textId="7AC4BAD6" w:rsidR="00AE3587" w:rsidRPr="00AE3587" w:rsidRDefault="00AE3587" w:rsidP="00AE3587">
      <w:pPr>
        <w:rPr>
          <w:rFonts w:eastAsiaTheme="minorEastAsia"/>
        </w:rPr>
      </w:pPr>
      <m:oMathPara>
        <m:oMath>
          <m:r>
            <w:rPr>
              <w:rFonts w:ascii="Cambria Math" w:eastAsiaTheme="minorEastAsia" w:hAnsi="Cambria Math"/>
            </w:rPr>
            <m:t>L</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ir</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m:oMathPara>
    </w:p>
    <w:p w14:paraId="55063A5C" w14:textId="45802E57" w:rsidR="00AE3587" w:rsidRDefault="00AE3587" w:rsidP="00AE3587">
      <w:pPr>
        <w:rPr>
          <w:rFonts w:eastAsiaTheme="minorEastAsia"/>
        </w:rPr>
      </w:pPr>
      <w:r>
        <w:rPr>
          <w:rFonts w:eastAsiaTheme="minorEastAsia"/>
        </w:rPr>
        <w:t xml:space="preserve">The goal of adjusting the LQ with credibility theory is to “pull” LQ estimates towards the mean by an amount that scales with their level of uncertainty. To estimate the credibility factor (Z), we use the credibility equation: </w:t>
      </w:r>
    </w:p>
    <w:p w14:paraId="4E2B319C" w14:textId="499F8A80" w:rsidR="00AE3587" w:rsidRPr="00AE3587" w:rsidRDefault="00AE3587" w:rsidP="00AE358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+K</m:t>
              </m:r>
            </m:den>
          </m:f>
        </m:oMath>
      </m:oMathPara>
    </w:p>
    <w:p w14:paraId="4CC15905" w14:textId="2B05651D" w:rsidR="00AE3587" w:rsidRDefault="00AE3587" w:rsidP="00AE3587">
      <w:pPr>
        <w:rPr>
          <w:rFonts w:eastAsiaTheme="minorEastAsia"/>
          <w:b/>
          <w:bCs/>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number of observations in a region (e.g.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oMath>
      <w:r>
        <w:rPr>
          <w:rFonts w:eastAsiaTheme="minorEastAsia"/>
        </w:rPr>
        <w:t xml:space="preserve">); and </w:t>
      </w:r>
      <m:oMath>
        <m:r>
          <w:rPr>
            <w:rFonts w:ascii="Cambria Math" w:eastAsiaTheme="minorEastAsia" w:hAnsi="Cambria Math"/>
          </w:rPr>
          <m:t>K</m:t>
        </m:r>
      </m:oMath>
      <w:r>
        <w:rPr>
          <w:rFonts w:eastAsiaTheme="minorEastAsia"/>
        </w:rPr>
        <w:t xml:space="preserve"> is a constant reflecting the balance between within-region variability and across-region variability. It is calculated with the </w:t>
      </w:r>
      <w:r>
        <w:rPr>
          <w:rFonts w:eastAsiaTheme="minorEastAsia"/>
          <w:b/>
          <w:bCs/>
        </w:rPr>
        <w:t xml:space="preserve">Buhlmann Formula: </w:t>
      </w:r>
    </w:p>
    <w:p w14:paraId="3C3282EF" w14:textId="0A91DFD5" w:rsidR="00AE3587" w:rsidRPr="00AE3587" w:rsidRDefault="00AE3587" w:rsidP="00AE3587">
      <w:pPr>
        <w:rPr>
          <w:rFonts w:eastAsiaTheme="minorEastAsia"/>
        </w:rPr>
      </w:pPr>
      <m:oMathPara>
        <m:oMath>
          <m:r>
            <w:rPr>
              <w:rFonts w:ascii="Cambria Math" w:eastAsiaTheme="minorEastAsia" w:hAnsi="Cambria Math"/>
            </w:rPr>
            <m:t>K=EPV/VHM</m:t>
          </m:r>
        </m:oMath>
      </m:oMathPara>
    </w:p>
    <w:p w14:paraId="0F616E08" w14:textId="4E5BEAE1" w:rsidR="00AE3587" w:rsidRDefault="00AE3587" w:rsidP="00AE3587">
      <w:pPr>
        <w:pStyle w:val="ListParagraph"/>
        <w:numPr>
          <w:ilvl w:val="0"/>
          <w:numId w:val="27"/>
        </w:numPr>
        <w:rPr>
          <w:rFonts w:eastAsiaTheme="minorEastAsia"/>
        </w:rPr>
      </w:pPr>
      <w:r w:rsidRPr="00AE3587">
        <w:rPr>
          <w:rFonts w:eastAsiaTheme="minorEastAsia"/>
          <w:b/>
          <w:bCs/>
        </w:rPr>
        <w:t>EPV</w:t>
      </w:r>
      <w:r>
        <w:rPr>
          <w:rFonts w:eastAsiaTheme="minorEastAsia"/>
        </w:rPr>
        <w:t xml:space="preserve"> (Expected Value of Process Variance): measures the average variability of industry proportions within individual regions. </w:t>
      </w:r>
    </w:p>
    <w:p w14:paraId="5C6C4757" w14:textId="66F77030" w:rsidR="00AE3587" w:rsidRDefault="00AE3587" w:rsidP="00AE3587">
      <w:pPr>
        <w:pStyle w:val="ListParagraph"/>
        <w:numPr>
          <w:ilvl w:val="1"/>
          <w:numId w:val="27"/>
        </w:numPr>
        <w:rPr>
          <w:rFonts w:eastAsiaTheme="minorEastAsia"/>
        </w:rPr>
      </w:pPr>
      <w:r>
        <w:rPr>
          <w:rFonts w:eastAsiaTheme="minorEastAsia"/>
        </w:rPr>
        <w:t xml:space="preserve">The proportion of each industry in each region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oMath>
    </w:p>
    <w:p w14:paraId="2AE695E8" w14:textId="66B10A09" w:rsidR="00AE3587" w:rsidRDefault="00AE3587" w:rsidP="00AE3587">
      <w:pPr>
        <w:pStyle w:val="ListParagraph"/>
        <w:numPr>
          <w:ilvl w:val="1"/>
          <w:numId w:val="27"/>
        </w:numPr>
        <w:rPr>
          <w:rFonts w:eastAsiaTheme="minorEastAsia"/>
        </w:rPr>
      </w:pPr>
      <w:r>
        <w:rPr>
          <w:rFonts w:eastAsiaTheme="minorEastAsia"/>
        </w:rPr>
        <w:t xml:space="preserve">The variance of these proportions for a given region is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oMath>
    </w:p>
    <w:p w14:paraId="625C1684" w14:textId="528006F7" w:rsidR="00AE3587" w:rsidRDefault="00AE3587" w:rsidP="00AE3587">
      <w:pPr>
        <w:pStyle w:val="ListParagraph"/>
        <w:numPr>
          <w:ilvl w:val="1"/>
          <w:numId w:val="27"/>
        </w:numPr>
        <w:rPr>
          <w:rFonts w:eastAsiaTheme="minorEastAsia"/>
        </w:rPr>
      </w:pPr>
      <w:r>
        <w:rPr>
          <w:rFonts w:eastAsiaTheme="minorEastAsia"/>
        </w:rPr>
        <w:t xml:space="preserve">The average of these variances across all regions is the EPV: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supHide m:val="1"/>
            <m:ctrlPr>
              <w:rPr>
                <w:rFonts w:ascii="Cambria Math" w:eastAsiaTheme="minorEastAsia" w:hAnsi="Cambria Math"/>
                <w:i/>
              </w:rPr>
            </m:ctrlPr>
          </m:naryPr>
          <m:sub>
            <m:r>
              <w:rPr>
                <w:rFonts w:ascii="Cambria Math" w:eastAsiaTheme="minorEastAsia" w:hAnsi="Cambria Math"/>
              </w:rPr>
              <m:t>r</m:t>
            </m:r>
          </m:sub>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e>
        </m:nary>
      </m:oMath>
    </w:p>
    <w:p w14:paraId="60CDEF1F" w14:textId="0203B451" w:rsidR="00AE3587" w:rsidRDefault="00AE3587" w:rsidP="00AE3587">
      <w:pPr>
        <w:pStyle w:val="ListParagraph"/>
        <w:numPr>
          <w:ilvl w:val="1"/>
          <w:numId w:val="27"/>
        </w:numPr>
        <w:rPr>
          <w:rFonts w:eastAsiaTheme="minorEastAsia"/>
        </w:rPr>
      </w:pPr>
      <w:r>
        <w:rPr>
          <w:rFonts w:eastAsiaTheme="minorEastAsia"/>
          <w:i/>
          <w:iCs/>
        </w:rPr>
        <w:t xml:space="preserve">Intuition: </w:t>
      </w:r>
      <w:r>
        <w:rPr>
          <w:rFonts w:eastAsiaTheme="minorEastAsia"/>
        </w:rPr>
        <w:t xml:space="preserve">EPV quantifies how much industry proportions in a region might fluctuate due to randomness/sampling variability. A higher EPV suggests that observed differences within regions are due to randomness and not systematic factors. </w:t>
      </w:r>
    </w:p>
    <w:p w14:paraId="09B10218" w14:textId="0E6A5D39" w:rsidR="00AE3587" w:rsidRDefault="00AE3587" w:rsidP="00AE3587">
      <w:pPr>
        <w:pStyle w:val="ListParagraph"/>
        <w:numPr>
          <w:ilvl w:val="0"/>
          <w:numId w:val="27"/>
        </w:numPr>
        <w:rPr>
          <w:rFonts w:eastAsiaTheme="minorEastAsia"/>
        </w:rPr>
      </w:pPr>
      <w:r>
        <w:rPr>
          <w:rFonts w:eastAsiaTheme="minorEastAsia"/>
          <w:b/>
          <w:bCs/>
        </w:rPr>
        <w:t xml:space="preserve">VHM </w:t>
      </w:r>
      <w:r w:rsidRPr="00AE3587">
        <w:rPr>
          <w:rFonts w:eastAsiaTheme="minorEastAsia"/>
        </w:rPr>
        <w:t>(Variance of Hypothetical Means):</w:t>
      </w:r>
      <w:r>
        <w:rPr>
          <w:rFonts w:eastAsiaTheme="minorEastAsia"/>
          <w:b/>
          <w:bCs/>
        </w:rPr>
        <w:t xml:space="preserve"> </w:t>
      </w:r>
      <w:r>
        <w:rPr>
          <w:rFonts w:eastAsiaTheme="minorEastAsia"/>
        </w:rPr>
        <w:t>measures the average variability of industry proportions across all regions.</w:t>
      </w:r>
    </w:p>
    <w:p w14:paraId="52E3B67D" w14:textId="772B8146" w:rsidR="00AE3587" w:rsidRDefault="00AE3587" w:rsidP="00AE3587">
      <w:pPr>
        <w:pStyle w:val="ListParagraph"/>
        <w:numPr>
          <w:ilvl w:val="1"/>
          <w:numId w:val="27"/>
        </w:numPr>
        <w:rPr>
          <w:rFonts w:eastAsiaTheme="minorEastAsia"/>
        </w:rPr>
      </w:pPr>
      <w:r>
        <w:rPr>
          <w:rFonts w:eastAsiaTheme="minorEastAsia"/>
        </w:rPr>
        <w:t xml:space="preserve">The average proportion of each industry across regions: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supHide m:val="1"/>
            <m:ctrlPr>
              <w:rPr>
                <w:rFonts w:ascii="Cambria Math" w:eastAsiaTheme="minorEastAsia" w:hAnsi="Cambria Math"/>
                <w:i/>
              </w:rPr>
            </m:ctrlPr>
          </m:nary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ir</m:t>
                </m:r>
              </m:sub>
            </m:sSub>
          </m:e>
        </m:nary>
      </m:oMath>
    </w:p>
    <w:p w14:paraId="61970991" w14:textId="56639846" w:rsidR="00AE3587" w:rsidRDefault="00AE3587" w:rsidP="00AE3587">
      <w:pPr>
        <w:pStyle w:val="ListParagraph"/>
        <w:numPr>
          <w:ilvl w:val="1"/>
          <w:numId w:val="27"/>
        </w:numPr>
        <w:rPr>
          <w:rFonts w:eastAsiaTheme="minorEastAsia"/>
        </w:rPr>
      </w:pPr>
      <w:r>
        <w:rPr>
          <w:rFonts w:eastAsiaTheme="minorEastAsia"/>
        </w:rPr>
        <w:t xml:space="preserve">The variance of these proportions for each industry: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r>
              <w:rPr>
                <w:rFonts w:ascii="Cambria Math" w:eastAsiaTheme="minorEastAsia" w:hAnsi="Cambria Math"/>
              </w:rPr>
              <m:t>-1</m:t>
            </m:r>
          </m:den>
        </m:f>
        <m:nary>
          <m:naryPr>
            <m:chr m:val="∑"/>
            <m:supHide m:val="1"/>
            <m:ctrlPr>
              <w:rPr>
                <w:rFonts w:ascii="Cambria Math" w:eastAsiaTheme="minorEastAsia" w:hAnsi="Cambria Math"/>
                <w:i/>
              </w:rPr>
            </m:ctrlPr>
          </m:naryPr>
          <m:sub>
            <m:r>
              <w:rPr>
                <w:rFonts w:ascii="Cambria Math" w:eastAsiaTheme="minorEastAsia" w:hAnsi="Cambria Math"/>
              </w:rPr>
              <m:t>r</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ir</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acc>
                  </m:e>
                </m:d>
              </m:e>
              <m:sup>
                <m:r>
                  <w:rPr>
                    <w:rFonts w:ascii="Cambria Math" w:eastAsiaTheme="minorEastAsia" w:hAnsi="Cambria Math"/>
                  </w:rPr>
                  <m:t>2</m:t>
                </m:r>
              </m:sup>
            </m:sSup>
          </m:e>
        </m:nary>
      </m:oMath>
    </w:p>
    <w:p w14:paraId="35D0806D" w14:textId="678293F0" w:rsidR="000500C5" w:rsidRDefault="000500C5" w:rsidP="00AE3587">
      <w:pPr>
        <w:pStyle w:val="ListParagraph"/>
        <w:numPr>
          <w:ilvl w:val="1"/>
          <w:numId w:val="27"/>
        </w:numPr>
        <w:rPr>
          <w:rFonts w:eastAsiaTheme="minorEastAsia"/>
        </w:rPr>
      </w:pPr>
      <w:r>
        <w:rPr>
          <w:rFonts w:eastAsiaTheme="minorEastAsia"/>
        </w:rPr>
        <w:t xml:space="preserve">The average of these variances across all industries is the VHM: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nary>
          <m:naryPr>
            <m:chr m:val="∑"/>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e>
        </m:nary>
      </m:oMath>
    </w:p>
    <w:p w14:paraId="5179126E" w14:textId="77777777" w:rsidR="000500C5" w:rsidRPr="00871D19" w:rsidRDefault="000500C5" w:rsidP="000500C5">
      <w:pPr>
        <w:pStyle w:val="ListParagraph"/>
        <w:numPr>
          <w:ilvl w:val="1"/>
          <w:numId w:val="25"/>
        </w:numPr>
        <w:rPr>
          <w:rFonts w:eastAsiaTheme="minorEastAsia"/>
          <w:i/>
          <w:iCs/>
        </w:rPr>
      </w:pPr>
      <w:r>
        <w:rPr>
          <w:rFonts w:eastAsiaTheme="minorEastAsia"/>
          <w:i/>
          <w:iCs/>
        </w:rPr>
        <w:t xml:space="preserve">Intuition: </w:t>
      </w:r>
      <w:r>
        <w:rPr>
          <w:rFonts w:eastAsiaTheme="minorEastAsia"/>
        </w:rPr>
        <w:t>A higher VHM indicates significant disparities in industry concentrations among regions, reflecting actual regional specialization.</w:t>
      </w:r>
    </w:p>
    <w:p w14:paraId="31ABB96D" w14:textId="496B5304" w:rsidR="000500C5" w:rsidRDefault="000500C5" w:rsidP="000500C5">
      <w:pPr>
        <w:rPr>
          <w:rFonts w:eastAsiaTheme="minorEastAsia"/>
        </w:rPr>
      </w:pPr>
      <w:r>
        <w:rPr>
          <w:rFonts w:eastAsiaTheme="minorEastAsia"/>
        </w:rPr>
        <w:lastRenderedPageBreak/>
        <w:t xml:space="preserve">The </w:t>
      </w:r>
      <w:r>
        <w:rPr>
          <w:rFonts w:eastAsiaTheme="minorEastAsia"/>
          <w:b/>
          <w:bCs/>
        </w:rPr>
        <w:t xml:space="preserve">parameter K </w:t>
      </w:r>
      <w:r>
        <w:rPr>
          <w:rFonts w:eastAsiaTheme="minorEastAsia"/>
        </w:rPr>
        <w:t xml:space="preserve">balances these two components. If K is high (EPV &gt; VHM), random variability within regions dominates, meaning regional data is less credible, and low weights are given to traditional LQs. If K is low (EPV &lt; VHM), systematic differences between regions dominate, meaning regional data is more credible, and more weight is given to regional LQs. </w:t>
      </w:r>
    </w:p>
    <w:p w14:paraId="3C8F614E" w14:textId="058D0D25" w:rsidR="000500C5" w:rsidRDefault="000500C5" w:rsidP="000500C5">
      <w:pPr>
        <w:rPr>
          <w:rFonts w:eastAsiaTheme="minorEastAsia"/>
        </w:rPr>
      </w:pPr>
      <w:r>
        <w:rPr>
          <w:rFonts w:eastAsiaTheme="minorEastAsia"/>
        </w:rPr>
        <w:t xml:space="preserve">Since </w:t>
      </w:r>
      <m:oMath>
        <m:r>
          <w:rPr>
            <w:rFonts w:ascii="Cambria Math" w:eastAsiaTheme="minorEastAsia" w:hAnsi="Cambria Math"/>
          </w:rPr>
          <m:t>K=EPV/VHM</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+K</m:t>
            </m:r>
          </m:den>
        </m:f>
      </m:oMath>
      <w:r>
        <w:rPr>
          <w:rFonts w:eastAsiaTheme="minorEastAsia"/>
        </w:rPr>
        <w:t xml:space="preserve">, and the credibility adjustment is </w:t>
      </w:r>
      <m:oMath>
        <m:r>
          <w:rPr>
            <w:rFonts w:ascii="Cambria Math" w:hAnsi="Cambria Math"/>
          </w:rPr>
          <m:t>L</m:t>
        </m:r>
        <m:sSubSup>
          <m:sSubSupPr>
            <m:ctrlPr>
              <w:rPr>
                <w:rFonts w:ascii="Cambria Math" w:hAnsi="Cambria Math"/>
                <w:i/>
              </w:rPr>
            </m:ctrlPr>
          </m:sSubSupPr>
          <m:e>
            <m:r>
              <w:rPr>
                <w:rFonts w:ascii="Cambria Math" w:hAnsi="Cambria Math"/>
              </w:rPr>
              <m:t>Q</m:t>
            </m:r>
          </m:e>
          <m:sub>
            <m:r>
              <w:rPr>
                <w:rFonts w:ascii="Cambria Math" w:hAnsi="Cambria Math"/>
              </w:rPr>
              <m:t>ir</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ir</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r</m:t>
                </m:r>
              </m:sub>
            </m:sSub>
          </m:e>
        </m:d>
      </m:oMath>
      <w:r>
        <w:rPr>
          <w:rFonts w:eastAsiaTheme="minorEastAsia"/>
        </w:rPr>
        <w:t xml:space="preserve">, as </w:t>
      </w:r>
      <m:oMath>
        <m:r>
          <w:rPr>
            <w:rFonts w:ascii="Cambria Math" w:eastAsiaTheme="minorEastAsia" w:hAnsi="Cambria Math"/>
          </w:rPr>
          <m:t>K→0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→1</m:t>
        </m:r>
      </m:oMath>
      <w:r>
        <w:rPr>
          <w:rFonts w:eastAsiaTheme="minorEastAsia"/>
        </w:rPr>
        <w:t xml:space="preserve">, meaning we rely heavily on regional estimates, ignoring the benchmark. As </w:t>
      </w:r>
      <m:oMath>
        <m:r>
          <w:rPr>
            <w:rFonts w:ascii="Cambria Math" w:eastAsiaTheme="minorEastAsia" w:hAnsi="Cambria Math"/>
          </w:rPr>
          <m:t>K→∞</m:t>
        </m:r>
      </m:oMath>
      <w:r>
        <w:rPr>
          <w:rFonts w:eastAsiaTheme="minorEastAsia"/>
        </w:rPr>
        <w:t xml:space="preserve">, meaning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→0</m:t>
        </m:r>
      </m:oMath>
      <w:r>
        <w:rPr>
          <w:rFonts w:eastAsiaTheme="minorEastAsia"/>
        </w:rPr>
        <w:t xml:space="preserve">, we rely heavily on the benchmark, decreasing the weight of regional estimates. </w:t>
      </w:r>
    </w:p>
    <w:p w14:paraId="040E7E74" w14:textId="6E15B60F" w:rsidR="000500C5" w:rsidRDefault="000500C5" w:rsidP="000500C5">
      <w:pPr>
        <w:pStyle w:val="Heading1"/>
        <w:rPr>
          <w:rFonts w:eastAsiaTheme="minorEastAsia"/>
        </w:rPr>
      </w:pPr>
      <w:r>
        <w:rPr>
          <w:rFonts w:eastAsiaTheme="minorEastAsia"/>
        </w:rPr>
        <w:t>Observations so Far</w:t>
      </w:r>
    </w:p>
    <w:p w14:paraId="6F2C72C3" w14:textId="6F3AE66F" w:rsidR="000500C5" w:rsidRDefault="000500C5" w:rsidP="000500C5">
      <w:pPr>
        <w:rPr>
          <w:rFonts w:eastAsiaTheme="minorEastAsia"/>
        </w:rPr>
      </w:pPr>
      <w:r>
        <w:t xml:space="preserve">Considering both the full US dataset and the Maine dataset, we are seeing most computed values for </w:t>
      </w:r>
      <m:oMath>
        <m:sSub>
          <m:sSubPr>
            <m:ctrlPr>
              <w:rPr>
                <w:rFonts w:ascii="Cambria Math" w:hAnsi="Cambria Math"/>
                <w:i/>
              </w:rPr>
            </m:ctrlPr>
          </m:sSubPr>
          <m:e>
            <m:r>
              <w:rPr>
                <w:rFonts w:ascii="Cambria Math" w:hAnsi="Cambria Math"/>
              </w:rPr>
              <m:t>Z</m:t>
            </m:r>
          </m:e>
          <m:sub>
            <m:r>
              <w:rPr>
                <w:rFonts w:ascii="Cambria Math" w:hAnsi="Cambria Math"/>
              </w:rPr>
              <m:t>r</m:t>
            </m:r>
          </m:sub>
        </m:sSub>
      </m:oMath>
      <w:r>
        <w:rPr>
          <w:rFonts w:eastAsiaTheme="minorEastAsia"/>
        </w:rPr>
        <w:t xml:space="preserve"> very close to 1. The average outcome in the Maine data, for example, is 0.99982, implying that VHM &gt; EPV, meaning variability across regions is significantly greater than variability within regions. This suggests differences in industry concentrations across counties compared to the variability within each county, implying regional specialization and a low variability / randomness within individual regions. </w:t>
      </w:r>
    </w:p>
    <w:p w14:paraId="453A0595" w14:textId="07C75913" w:rsidR="000500C5" w:rsidRDefault="000500C5" w:rsidP="000500C5">
      <w:r>
        <w:t xml:space="preserve">Some thoughts: </w:t>
      </w:r>
    </w:p>
    <w:p w14:paraId="6F2A67BE" w14:textId="2E2CA9B3" w:rsidR="000500C5" w:rsidRDefault="000500C5" w:rsidP="000500C5">
      <w:pPr>
        <w:pStyle w:val="ListParagraph"/>
        <w:numPr>
          <w:ilvl w:val="0"/>
          <w:numId w:val="28"/>
        </w:numPr>
      </w:pPr>
      <w:r>
        <w:t xml:space="preserve">This could be a meaningful </w:t>
      </w:r>
      <w:proofErr w:type="gramStart"/>
      <w:r>
        <w:t>result in itself, suggesting</w:t>
      </w:r>
      <w:proofErr w:type="gramEnd"/>
      <w:r>
        <w:t xml:space="preserve"> that adjusting in this way is not necessary because the data reflects real industry patterns that are well-captured by regional LQs, despite the inherent instability in lower-count regions. Perhaps the use of CIs is a better approach in this case? </w:t>
      </w:r>
    </w:p>
    <w:p w14:paraId="4B086834" w14:textId="6CDA6C3F" w:rsidR="000500C5" w:rsidRPr="00443655" w:rsidRDefault="000500C5" w:rsidP="000500C5">
      <w:pPr>
        <w:pStyle w:val="ListParagraph"/>
        <w:numPr>
          <w:ilvl w:val="0"/>
          <w:numId w:val="28"/>
        </w:numPr>
      </w:pPr>
      <w:r>
        <w:t xml:space="preserve">Alternative credibility methods exist, such as Bayesian credibility models which </w:t>
      </w:r>
      <w:r w:rsidR="00443655">
        <w:t xml:space="preserve">don’t rely </w:t>
      </w:r>
      <w:r>
        <w:t xml:space="preserve">on fixed parameters </w:t>
      </w:r>
      <m:oMath>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,K)</m:t>
        </m:r>
      </m:oMath>
      <w:r w:rsidR="00443655">
        <w:rPr>
          <w:rFonts w:eastAsiaTheme="minorEastAsia"/>
        </w:rPr>
        <w:t xml:space="preserve">. Instead, we assume the true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ir</m:t>
            </m:r>
          </m:sub>
        </m:sSub>
      </m:oMath>
      <w:r w:rsidR="00443655">
        <w:rPr>
          <w:rFonts w:eastAsiaTheme="minorEastAsia"/>
        </w:rPr>
        <w:t xml:space="preserve"> is distributed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sidR="00443655">
        <w:rPr>
          <w:rFonts w:eastAsiaTheme="minorEastAsia"/>
        </w:rPr>
        <w:t xml:space="preserve"> and the regional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443655">
        <w:rPr>
          <w:rFonts w:eastAsiaTheme="minorEastAsia"/>
        </w:rPr>
        <w:t xml:space="preserve"> has a prior distribution centered around the benchmark LQ with some variance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oMath>
      <w:r w:rsidR="00443655">
        <w:rPr>
          <w:rFonts w:eastAsiaTheme="minorEastAsia"/>
        </w:rPr>
        <w:t xml:space="preserve">). In this setup, the posterior distribution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443655">
        <w:rPr>
          <w:rFonts w:eastAsiaTheme="minorEastAsia"/>
        </w:rPr>
        <w:t xml:space="preserve"> given the observed data will blend regional LQs with the benchmark LQ, with weights depending on the relative variances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443655">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oMath>
      <w:r w:rsidR="00443655">
        <w:rPr>
          <w:rFonts w:eastAsiaTheme="minorEastAsia"/>
        </w:rPr>
        <w:t xml:space="preserve">. Regions with a smaller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443655">
        <w:rPr>
          <w:rFonts w:eastAsiaTheme="minorEastAsia"/>
        </w:rPr>
        <w:t xml:space="preserve"> will have posteriors closer to their observed LQs, while those with higher variance will shrink towards the benchmark. </w:t>
      </w:r>
    </w:p>
    <w:p w14:paraId="0F727425" w14:textId="77777777" w:rsidR="00443655" w:rsidRPr="000500C5" w:rsidRDefault="00443655" w:rsidP="00443655"/>
    <w:p w14:paraId="3EAEAE23" w14:textId="77777777" w:rsidR="00AE3587" w:rsidRDefault="00AE3587" w:rsidP="00AE3587">
      <w:pPr>
        <w:pStyle w:val="ListParagraph"/>
        <w:rPr>
          <w:rFonts w:eastAsiaTheme="minorEastAsia"/>
          <w:i/>
          <w:iCs/>
        </w:rPr>
      </w:pPr>
    </w:p>
    <w:p w14:paraId="7B378186" w14:textId="77777777" w:rsidR="00802624" w:rsidRPr="00802624" w:rsidRDefault="00802624" w:rsidP="00802624"/>
    <w:p w14:paraId="7812A6FC" w14:textId="77777777" w:rsidR="00FB3047" w:rsidRDefault="00FB3047" w:rsidP="00FB3047"/>
    <w:p w14:paraId="0025A24C" w14:textId="77777777" w:rsidR="00FB3047" w:rsidRPr="00FB3047" w:rsidRDefault="00FB3047" w:rsidP="00FB3047"/>
    <w:sectPr w:rsidR="00FB3047" w:rsidRPr="00FB3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4394"/>
    <w:multiLevelType w:val="multilevel"/>
    <w:tmpl w:val="B46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A1E39"/>
    <w:multiLevelType w:val="multilevel"/>
    <w:tmpl w:val="45A0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121CF"/>
    <w:multiLevelType w:val="hybridMultilevel"/>
    <w:tmpl w:val="1E3A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5346E"/>
    <w:multiLevelType w:val="multilevel"/>
    <w:tmpl w:val="22E2B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80ED2"/>
    <w:multiLevelType w:val="multilevel"/>
    <w:tmpl w:val="5CF8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2567"/>
    <w:multiLevelType w:val="multilevel"/>
    <w:tmpl w:val="327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A464B"/>
    <w:multiLevelType w:val="multilevel"/>
    <w:tmpl w:val="CE70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E7818"/>
    <w:multiLevelType w:val="hybridMultilevel"/>
    <w:tmpl w:val="EFA2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40098"/>
    <w:multiLevelType w:val="hybridMultilevel"/>
    <w:tmpl w:val="236A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D2137"/>
    <w:multiLevelType w:val="hybridMultilevel"/>
    <w:tmpl w:val="A2B8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A4620"/>
    <w:multiLevelType w:val="multilevel"/>
    <w:tmpl w:val="EED26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82AEE"/>
    <w:multiLevelType w:val="multilevel"/>
    <w:tmpl w:val="69E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26ADF"/>
    <w:multiLevelType w:val="multilevel"/>
    <w:tmpl w:val="534E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52FA4"/>
    <w:multiLevelType w:val="multilevel"/>
    <w:tmpl w:val="B46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76B85"/>
    <w:multiLevelType w:val="hybridMultilevel"/>
    <w:tmpl w:val="3C726086"/>
    <w:lvl w:ilvl="0" w:tplc="9A3A2170">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B555C"/>
    <w:multiLevelType w:val="multilevel"/>
    <w:tmpl w:val="E6F01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E94DFC"/>
    <w:multiLevelType w:val="multilevel"/>
    <w:tmpl w:val="254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F087C"/>
    <w:multiLevelType w:val="hybridMultilevel"/>
    <w:tmpl w:val="BFAA8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34A4D"/>
    <w:multiLevelType w:val="hybridMultilevel"/>
    <w:tmpl w:val="87C03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C27AC2"/>
    <w:multiLevelType w:val="hybridMultilevel"/>
    <w:tmpl w:val="19B6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B1921"/>
    <w:multiLevelType w:val="hybridMultilevel"/>
    <w:tmpl w:val="B8EAA162"/>
    <w:lvl w:ilvl="0" w:tplc="4E08EA5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E3E02"/>
    <w:multiLevelType w:val="hybridMultilevel"/>
    <w:tmpl w:val="50682CD4"/>
    <w:lvl w:ilvl="0" w:tplc="DD08075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229B5"/>
    <w:multiLevelType w:val="multilevel"/>
    <w:tmpl w:val="6A0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86AE6"/>
    <w:multiLevelType w:val="multilevel"/>
    <w:tmpl w:val="9FCA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A2B37"/>
    <w:multiLevelType w:val="multilevel"/>
    <w:tmpl w:val="1C10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2166C5"/>
    <w:multiLevelType w:val="hybridMultilevel"/>
    <w:tmpl w:val="DB46B440"/>
    <w:lvl w:ilvl="0" w:tplc="B55072F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C707D6"/>
    <w:multiLevelType w:val="hybridMultilevel"/>
    <w:tmpl w:val="C7C461D8"/>
    <w:lvl w:ilvl="0" w:tplc="A1B29D5E">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83710"/>
    <w:multiLevelType w:val="hybridMultilevel"/>
    <w:tmpl w:val="62061724"/>
    <w:lvl w:ilvl="0" w:tplc="5C966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883740">
    <w:abstractNumId w:val="27"/>
  </w:num>
  <w:num w:numId="2" w16cid:durableId="1686787154">
    <w:abstractNumId w:val="2"/>
  </w:num>
  <w:num w:numId="3" w16cid:durableId="312374043">
    <w:abstractNumId w:val="10"/>
  </w:num>
  <w:num w:numId="4" w16cid:durableId="722869886">
    <w:abstractNumId w:val="13"/>
  </w:num>
  <w:num w:numId="5" w16cid:durableId="882863871">
    <w:abstractNumId w:val="4"/>
  </w:num>
  <w:num w:numId="6" w16cid:durableId="470363483">
    <w:abstractNumId w:val="5"/>
  </w:num>
  <w:num w:numId="7" w16cid:durableId="627471537">
    <w:abstractNumId w:val="15"/>
  </w:num>
  <w:num w:numId="8" w16cid:durableId="1242443512">
    <w:abstractNumId w:val="0"/>
  </w:num>
  <w:num w:numId="9" w16cid:durableId="48000884">
    <w:abstractNumId w:val="12"/>
  </w:num>
  <w:num w:numId="10" w16cid:durableId="1272476621">
    <w:abstractNumId w:val="3"/>
  </w:num>
  <w:num w:numId="11" w16cid:durableId="901215935">
    <w:abstractNumId w:val="16"/>
  </w:num>
  <w:num w:numId="12" w16cid:durableId="770517982">
    <w:abstractNumId w:val="22"/>
  </w:num>
  <w:num w:numId="13" w16cid:durableId="121963799">
    <w:abstractNumId w:val="6"/>
  </w:num>
  <w:num w:numId="14" w16cid:durableId="805701871">
    <w:abstractNumId w:val="24"/>
  </w:num>
  <w:num w:numId="15" w16cid:durableId="1204053339">
    <w:abstractNumId w:val="23"/>
  </w:num>
  <w:num w:numId="16" w16cid:durableId="1114137706">
    <w:abstractNumId w:val="11"/>
  </w:num>
  <w:num w:numId="17" w16cid:durableId="2134982951">
    <w:abstractNumId w:val="1"/>
  </w:num>
  <w:num w:numId="18" w16cid:durableId="450518047">
    <w:abstractNumId w:val="26"/>
  </w:num>
  <w:num w:numId="19" w16cid:durableId="877620865">
    <w:abstractNumId w:val="19"/>
  </w:num>
  <w:num w:numId="20" w16cid:durableId="176236622">
    <w:abstractNumId w:val="21"/>
  </w:num>
  <w:num w:numId="21" w16cid:durableId="744956306">
    <w:abstractNumId w:val="8"/>
  </w:num>
  <w:num w:numId="22" w16cid:durableId="626468317">
    <w:abstractNumId w:val="9"/>
  </w:num>
  <w:num w:numId="23" w16cid:durableId="1978947544">
    <w:abstractNumId w:val="18"/>
  </w:num>
  <w:num w:numId="24" w16cid:durableId="581185841">
    <w:abstractNumId w:val="17"/>
  </w:num>
  <w:num w:numId="25" w16cid:durableId="1723746787">
    <w:abstractNumId w:val="14"/>
  </w:num>
  <w:num w:numId="26" w16cid:durableId="408892845">
    <w:abstractNumId w:val="25"/>
  </w:num>
  <w:num w:numId="27" w16cid:durableId="1439788770">
    <w:abstractNumId w:val="20"/>
  </w:num>
  <w:num w:numId="28" w16cid:durableId="1035082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24"/>
    <w:rsid w:val="000500C5"/>
    <w:rsid w:val="00052D66"/>
    <w:rsid w:val="0008213E"/>
    <w:rsid w:val="00404420"/>
    <w:rsid w:val="00443655"/>
    <w:rsid w:val="00455DC1"/>
    <w:rsid w:val="004574FF"/>
    <w:rsid w:val="005F7224"/>
    <w:rsid w:val="00802624"/>
    <w:rsid w:val="00871D19"/>
    <w:rsid w:val="009B4684"/>
    <w:rsid w:val="00A462ED"/>
    <w:rsid w:val="00A966F0"/>
    <w:rsid w:val="00AE3587"/>
    <w:rsid w:val="00B676FC"/>
    <w:rsid w:val="00BF7089"/>
    <w:rsid w:val="00C63E95"/>
    <w:rsid w:val="00E017CB"/>
    <w:rsid w:val="00F85CED"/>
    <w:rsid w:val="00F91BE4"/>
    <w:rsid w:val="00FA7BF7"/>
    <w:rsid w:val="00FB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DCD3"/>
  <w15:chartTrackingRefBased/>
  <w15:docId w15:val="{51BC9D0E-8104-4B18-9BDF-61906963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6F0"/>
    <w:rPr>
      <w:rFonts w:ascii="Times New Roman" w:hAnsi="Times New Roman" w:cs="Times New Roman"/>
    </w:rPr>
  </w:style>
  <w:style w:type="paragraph" w:styleId="Heading1">
    <w:name w:val="heading 1"/>
    <w:basedOn w:val="Normal"/>
    <w:next w:val="Normal"/>
    <w:link w:val="Heading1Char"/>
    <w:uiPriority w:val="9"/>
    <w:qFormat/>
    <w:rsid w:val="005F7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224"/>
    <w:rPr>
      <w:rFonts w:eastAsiaTheme="majorEastAsia" w:cstheme="majorBidi"/>
      <w:color w:val="272727" w:themeColor="text1" w:themeTint="D8"/>
    </w:rPr>
  </w:style>
  <w:style w:type="paragraph" w:styleId="Title">
    <w:name w:val="Title"/>
    <w:basedOn w:val="Normal"/>
    <w:next w:val="Normal"/>
    <w:link w:val="TitleChar"/>
    <w:uiPriority w:val="10"/>
    <w:qFormat/>
    <w:rsid w:val="005F7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224"/>
    <w:pPr>
      <w:spacing w:before="160"/>
      <w:jc w:val="center"/>
    </w:pPr>
    <w:rPr>
      <w:i/>
      <w:iCs/>
      <w:color w:val="404040" w:themeColor="text1" w:themeTint="BF"/>
    </w:rPr>
  </w:style>
  <w:style w:type="character" w:customStyle="1" w:styleId="QuoteChar">
    <w:name w:val="Quote Char"/>
    <w:basedOn w:val="DefaultParagraphFont"/>
    <w:link w:val="Quote"/>
    <w:uiPriority w:val="29"/>
    <w:rsid w:val="005F7224"/>
    <w:rPr>
      <w:i/>
      <w:iCs/>
      <w:color w:val="404040" w:themeColor="text1" w:themeTint="BF"/>
    </w:rPr>
  </w:style>
  <w:style w:type="paragraph" w:styleId="ListParagraph">
    <w:name w:val="List Paragraph"/>
    <w:basedOn w:val="Normal"/>
    <w:uiPriority w:val="34"/>
    <w:qFormat/>
    <w:rsid w:val="005F7224"/>
    <w:pPr>
      <w:ind w:left="720"/>
      <w:contextualSpacing/>
    </w:pPr>
  </w:style>
  <w:style w:type="character" w:styleId="IntenseEmphasis">
    <w:name w:val="Intense Emphasis"/>
    <w:basedOn w:val="DefaultParagraphFont"/>
    <w:uiPriority w:val="21"/>
    <w:qFormat/>
    <w:rsid w:val="005F7224"/>
    <w:rPr>
      <w:i/>
      <w:iCs/>
      <w:color w:val="0F4761" w:themeColor="accent1" w:themeShade="BF"/>
    </w:rPr>
  </w:style>
  <w:style w:type="paragraph" w:styleId="IntenseQuote">
    <w:name w:val="Intense Quote"/>
    <w:basedOn w:val="Normal"/>
    <w:next w:val="Normal"/>
    <w:link w:val="IntenseQuoteChar"/>
    <w:uiPriority w:val="30"/>
    <w:qFormat/>
    <w:rsid w:val="005F7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224"/>
    <w:rPr>
      <w:i/>
      <w:iCs/>
      <w:color w:val="0F4761" w:themeColor="accent1" w:themeShade="BF"/>
    </w:rPr>
  </w:style>
  <w:style w:type="character" w:styleId="IntenseReference">
    <w:name w:val="Intense Reference"/>
    <w:basedOn w:val="DefaultParagraphFont"/>
    <w:uiPriority w:val="32"/>
    <w:qFormat/>
    <w:rsid w:val="005F7224"/>
    <w:rPr>
      <w:b/>
      <w:bCs/>
      <w:smallCaps/>
      <w:color w:val="0F4761" w:themeColor="accent1" w:themeShade="BF"/>
      <w:spacing w:val="5"/>
    </w:rPr>
  </w:style>
  <w:style w:type="character" w:styleId="PlaceholderText">
    <w:name w:val="Placeholder Text"/>
    <w:basedOn w:val="DefaultParagraphFont"/>
    <w:uiPriority w:val="99"/>
    <w:semiHidden/>
    <w:rsid w:val="00F85CED"/>
    <w:rPr>
      <w:color w:val="666666"/>
    </w:rPr>
  </w:style>
  <w:style w:type="paragraph" w:styleId="NormalWeb">
    <w:name w:val="Normal (Web)"/>
    <w:basedOn w:val="Normal"/>
    <w:uiPriority w:val="99"/>
    <w:semiHidden/>
    <w:unhideWhenUsed/>
    <w:rsid w:val="00FA7B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12017">
      <w:bodyDiv w:val="1"/>
      <w:marLeft w:val="0"/>
      <w:marRight w:val="0"/>
      <w:marTop w:val="0"/>
      <w:marBottom w:val="0"/>
      <w:divBdr>
        <w:top w:val="none" w:sz="0" w:space="0" w:color="auto"/>
        <w:left w:val="none" w:sz="0" w:space="0" w:color="auto"/>
        <w:bottom w:val="none" w:sz="0" w:space="0" w:color="auto"/>
        <w:right w:val="none" w:sz="0" w:space="0" w:color="auto"/>
      </w:divBdr>
    </w:div>
    <w:div w:id="10619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6</cp:revision>
  <dcterms:created xsi:type="dcterms:W3CDTF">2024-09-27T19:04:00Z</dcterms:created>
  <dcterms:modified xsi:type="dcterms:W3CDTF">2024-09-30T15:02:00Z</dcterms:modified>
</cp:coreProperties>
</file>