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B282B" w14:textId="22E84ECB" w:rsidR="004574FF" w:rsidRDefault="0061742E">
      <w:pPr>
        <w:rPr>
          <w:rFonts w:ascii="Segoe UI" w:hAnsi="Segoe UI" w:cs="Segoe UI"/>
          <w:sz w:val="21"/>
          <w:szCs w:val="21"/>
        </w:rPr>
      </w:pPr>
      <w:r>
        <w:rPr>
          <w:rFonts w:ascii="Segoe UI" w:hAnsi="Segoe UI" w:cs="Segoe UI"/>
          <w:sz w:val="21"/>
          <w:szCs w:val="21"/>
        </w:rPr>
        <w:t>I like the theory. There are obviously movements in the entropy immediately after the shock takes place. However, you still need time for the difference to be "detectable" even with larger shifts</w:t>
      </w:r>
      <w:r>
        <w:rPr>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rPr>
        <w:br/>
        <w:t>Pawel wrote a paper, "Topotests", which uses the entropy to detect whether two variables are the same topologically. Since he wrote that paper I have been thinking about this time series application. The obvious question being "At what point does the time series become topologically different from the pre-shock?"</w:t>
      </w:r>
      <w:r>
        <w:rPr>
          <w:rFonts w:ascii="Segoe UI" w:hAnsi="Segoe UI" w:cs="Segoe UI"/>
          <w:sz w:val="21"/>
          <w:szCs w:val="21"/>
        </w:rPr>
        <w:br/>
      </w:r>
      <w:r>
        <w:rPr>
          <w:rFonts w:ascii="Segoe UI" w:hAnsi="Segoe UI" w:cs="Segoe UI"/>
          <w:sz w:val="21"/>
          <w:szCs w:val="21"/>
        </w:rPr>
        <w:br/>
        <w:t>There are two related points here:</w:t>
      </w:r>
      <w:r>
        <w:rPr>
          <w:rFonts w:ascii="Segoe UI" w:hAnsi="Segoe UI" w:cs="Segoe UI"/>
          <w:sz w:val="21"/>
          <w:szCs w:val="21"/>
        </w:rPr>
        <w:br/>
      </w:r>
      <w:r>
        <w:rPr>
          <w:rFonts w:ascii="Segoe UI" w:hAnsi="Segoe UI" w:cs="Segoe UI"/>
          <w:sz w:val="21"/>
          <w:szCs w:val="21"/>
        </w:rPr>
        <w:br/>
        <w:t>1. Could a different method find the step change quicker?</w:t>
      </w:r>
      <w:r>
        <w:rPr>
          <w:rFonts w:ascii="Segoe UI" w:hAnsi="Segoe UI" w:cs="Segoe UI"/>
          <w:sz w:val="21"/>
          <w:szCs w:val="21"/>
        </w:rPr>
        <w:br/>
        <w:t>2. Can TDA do better when the change is gradual?</w:t>
      </w:r>
      <w:r>
        <w:rPr>
          <w:rFonts w:ascii="Segoe UI" w:hAnsi="Segoe UI" w:cs="Segoe UI"/>
          <w:sz w:val="21"/>
          <w:szCs w:val="21"/>
        </w:rPr>
        <w:br/>
      </w:r>
      <w:r>
        <w:rPr>
          <w:rFonts w:ascii="Segoe UI" w:hAnsi="Segoe UI" w:cs="Segoe UI"/>
          <w:sz w:val="21"/>
          <w:szCs w:val="21"/>
        </w:rPr>
        <w:br/>
        <w:t>For 2 I am thinking of cases where the underlying trend in the data is non-linear, something like</w:t>
      </w:r>
      <w:r>
        <w:rPr>
          <w:rFonts w:ascii="Segoe UI" w:hAnsi="Segoe UI" w:cs="Segoe UI"/>
          <w:sz w:val="21"/>
          <w:szCs w:val="21"/>
        </w:rPr>
        <w:t xml:space="preserve"> </w:t>
      </w:r>
      <m:oMath>
        <m:sSub>
          <m:sSubPr>
            <m:ctrlPr>
              <w:rPr>
                <w:rFonts w:ascii="Cambria Math" w:hAnsi="Cambria Math" w:cs="Segoe UI"/>
                <w:i/>
                <w:sz w:val="21"/>
                <w:szCs w:val="21"/>
              </w:rPr>
            </m:ctrlPr>
          </m:sSubPr>
          <m:e>
            <m:r>
              <w:rPr>
                <w:rFonts w:ascii="Cambria Math" w:hAnsi="Cambria Math" w:cs="Segoe UI"/>
                <w:sz w:val="21"/>
                <w:szCs w:val="21"/>
              </w:rPr>
              <m:t>Y</m:t>
            </m:r>
          </m:e>
          <m:sub>
            <m:r>
              <w:rPr>
                <w:rFonts w:ascii="Cambria Math" w:hAnsi="Cambria Math" w:cs="Segoe UI"/>
                <w:sz w:val="21"/>
                <w:szCs w:val="21"/>
              </w:rPr>
              <m:t>t</m:t>
            </m:r>
          </m:sub>
        </m:sSub>
        <m:r>
          <w:rPr>
            <w:rFonts w:ascii="Cambria Math" w:hAnsi="Cambria Math" w:cs="Segoe UI"/>
            <w:sz w:val="21"/>
            <w:szCs w:val="21"/>
          </w:rPr>
          <m:t>=a+b</m:t>
        </m:r>
        <m:sSub>
          <m:sSubPr>
            <m:ctrlPr>
              <w:rPr>
                <w:rFonts w:ascii="Cambria Math" w:hAnsi="Cambria Math" w:cs="Segoe UI"/>
                <w:i/>
                <w:sz w:val="21"/>
                <w:szCs w:val="21"/>
              </w:rPr>
            </m:ctrlPr>
          </m:sSubPr>
          <m:e>
            <m:r>
              <w:rPr>
                <w:rFonts w:ascii="Cambria Math" w:hAnsi="Cambria Math" w:cs="Segoe UI"/>
                <w:sz w:val="21"/>
                <w:szCs w:val="21"/>
              </w:rPr>
              <m:t>Y</m:t>
            </m:r>
          </m:e>
          <m:sub>
            <m:r>
              <w:rPr>
                <w:rFonts w:ascii="Cambria Math" w:hAnsi="Cambria Math" w:cs="Segoe UI"/>
                <w:sz w:val="21"/>
                <w:szCs w:val="21"/>
              </w:rPr>
              <m:t>t-1</m:t>
            </m:r>
          </m:sub>
        </m:sSub>
      </m:oMath>
      <w:r>
        <w:rPr>
          <w:rFonts w:ascii="Segoe UI" w:eastAsiaTheme="minorEastAsia" w:hAnsi="Segoe UI" w:cs="Segoe UI"/>
          <w:sz w:val="21"/>
          <w:szCs w:val="21"/>
        </w:rPr>
        <w:t xml:space="preserve"> becoming </w:t>
      </w:r>
      <m:oMath>
        <m:sSub>
          <m:sSubPr>
            <m:ctrlPr>
              <w:rPr>
                <w:rFonts w:ascii="Cambria Math" w:eastAsiaTheme="minorEastAsia" w:hAnsi="Cambria Math" w:cs="Segoe UI"/>
                <w:i/>
                <w:sz w:val="21"/>
                <w:szCs w:val="21"/>
              </w:rPr>
            </m:ctrlPr>
          </m:sSubPr>
          <m:e>
            <m:r>
              <w:rPr>
                <w:rFonts w:ascii="Cambria Math" w:eastAsiaTheme="minorEastAsia" w:hAnsi="Cambria Math" w:cs="Segoe UI"/>
                <w:sz w:val="21"/>
                <w:szCs w:val="21"/>
              </w:rPr>
              <m:t>Y</m:t>
            </m:r>
          </m:e>
          <m:sub>
            <m:r>
              <w:rPr>
                <w:rFonts w:ascii="Cambria Math" w:eastAsiaTheme="minorEastAsia" w:hAnsi="Cambria Math" w:cs="Segoe UI"/>
                <w:sz w:val="21"/>
                <w:szCs w:val="21"/>
              </w:rPr>
              <m:t>t</m:t>
            </m:r>
          </m:sub>
        </m:sSub>
        <m:r>
          <w:rPr>
            <w:rFonts w:ascii="Cambria Math" w:eastAsiaTheme="minorEastAsia" w:hAnsi="Cambria Math" w:cs="Segoe UI"/>
            <w:sz w:val="21"/>
            <w:szCs w:val="21"/>
          </w:rPr>
          <m:t>=a+b</m:t>
        </m:r>
        <m:sSubSup>
          <m:sSubSupPr>
            <m:ctrlPr>
              <w:rPr>
                <w:rFonts w:ascii="Cambria Math" w:eastAsiaTheme="minorEastAsia" w:hAnsi="Cambria Math" w:cs="Segoe UI"/>
                <w:i/>
                <w:sz w:val="21"/>
                <w:szCs w:val="21"/>
              </w:rPr>
            </m:ctrlPr>
          </m:sSubSupPr>
          <m:e>
            <m:r>
              <w:rPr>
                <w:rFonts w:ascii="Cambria Math" w:eastAsiaTheme="minorEastAsia" w:hAnsi="Cambria Math" w:cs="Segoe UI"/>
                <w:sz w:val="21"/>
                <w:szCs w:val="21"/>
              </w:rPr>
              <m:t>Y</m:t>
            </m:r>
          </m:e>
          <m:sub>
            <m:r>
              <w:rPr>
                <w:rFonts w:ascii="Cambria Math" w:eastAsiaTheme="minorEastAsia" w:hAnsi="Cambria Math" w:cs="Segoe UI"/>
                <w:sz w:val="21"/>
                <w:szCs w:val="21"/>
              </w:rPr>
              <m:t>t-1</m:t>
            </m:r>
          </m:sub>
          <m:sup>
            <m:r>
              <w:rPr>
                <w:rFonts w:ascii="Cambria Math" w:eastAsiaTheme="minorEastAsia" w:hAnsi="Cambria Math" w:cs="Segoe UI"/>
                <w:sz w:val="21"/>
                <w:szCs w:val="21"/>
              </w:rPr>
              <m:t>c</m:t>
            </m:r>
          </m:sup>
        </m:sSubSup>
      </m:oMath>
      <w:r>
        <w:rPr>
          <w:rFonts w:ascii="Segoe UI" w:eastAsiaTheme="minorEastAsia" w:hAnsi="Segoe UI" w:cs="Segoe UI"/>
          <w:sz w:val="21"/>
          <w:szCs w:val="21"/>
        </w:rPr>
        <w:t xml:space="preserve"> where </w:t>
      </w:r>
      <m:oMath>
        <m:r>
          <w:rPr>
            <w:rFonts w:ascii="Cambria Math" w:eastAsiaTheme="minorEastAsia" w:hAnsi="Cambria Math" w:cs="Segoe UI"/>
            <w:sz w:val="21"/>
            <w:szCs w:val="21"/>
          </w:rPr>
          <m:t>c</m:t>
        </m:r>
      </m:oMath>
      <w:r>
        <w:rPr>
          <w:rFonts w:ascii="Segoe UI" w:eastAsiaTheme="minorEastAsia" w:hAnsi="Segoe UI" w:cs="Segoe UI"/>
          <w:sz w:val="21"/>
          <w:szCs w:val="21"/>
        </w:rPr>
        <w:t xml:space="preserve"> is some small power term. Over time, the distribution changes, but the early changes would be small. </w:t>
      </w:r>
      <w:r>
        <w:rPr>
          <w:rStyle w:val="white-space-pre"/>
          <w:rFonts w:ascii="Segoe UI" w:hAnsi="Segoe UI" w:cs="Segoe UI"/>
          <w:sz w:val="21"/>
          <w:szCs w:val="21"/>
        </w:rPr>
        <w:t xml:space="preserve"> </w:t>
      </w:r>
      <w:r>
        <w:rPr>
          <w:rFonts w:ascii="Segoe UI" w:hAnsi="Segoe UI" w:cs="Segoe UI"/>
          <w:sz w:val="21"/>
          <w:szCs w:val="21"/>
        </w:rPr>
        <w:br/>
      </w:r>
      <w:r>
        <w:rPr>
          <w:rFonts w:ascii="Segoe UI" w:hAnsi="Segoe UI" w:cs="Segoe UI"/>
          <w:sz w:val="21"/>
          <w:szCs w:val="21"/>
        </w:rPr>
        <w:br/>
        <w:t>It would be useful to see the time series (including the shocks) that underly the results. In the financial application those underlying time series are what the market can see.</w:t>
      </w:r>
      <w:r>
        <w:rPr>
          <w:rStyle w:val="white-space-pre"/>
          <w:rFonts w:ascii="Segoe UI" w:hAnsi="Segoe UI" w:cs="Segoe UI"/>
          <w:sz w:val="21"/>
          <w:szCs w:val="21"/>
        </w:rPr>
        <w:t xml:space="preserve"> </w:t>
      </w:r>
      <w:r>
        <w:rPr>
          <w:rFonts w:ascii="Segoe UI" w:hAnsi="Segoe UI" w:cs="Segoe UI"/>
          <w:sz w:val="21"/>
          <w:szCs w:val="21"/>
        </w:rPr>
        <w:t>Hope these initial thoughts make sense. It would be great to explore further.</w:t>
      </w:r>
    </w:p>
    <w:p w14:paraId="6B466961" w14:textId="5F34284E" w:rsidR="0061742E" w:rsidRDefault="0061742E">
      <w:r>
        <w:rPr>
          <w:rFonts w:ascii="Segoe UI" w:hAnsi="Segoe UI" w:cs="Segoe UI"/>
          <w:sz w:val="21"/>
          <w:szCs w:val="21"/>
        </w:rPr>
        <w:t>link to Pawel's paper:</w:t>
      </w:r>
      <w:r>
        <w:rPr>
          <w:rStyle w:val="white-space-pre"/>
          <w:rFonts w:ascii="Segoe UI" w:hAnsi="Segoe UI" w:cs="Segoe UI"/>
          <w:sz w:val="21"/>
          <w:szCs w:val="21"/>
        </w:rPr>
        <w:t xml:space="preserve"> </w:t>
      </w:r>
      <w:hyperlink r:id="rId4" w:tgtFrame="_blank" w:history="1">
        <w:r>
          <w:rPr>
            <w:rStyle w:val="Hyperlink"/>
            <w:rFonts w:ascii="Segoe UI" w:hAnsi="Segoe UI" w:cs="Segoe UI"/>
            <w:sz w:val="21"/>
            <w:szCs w:val="21"/>
          </w:rPr>
          <w:t>https://link.springer.com/article/10.1007/s11222-023-10333-0</w:t>
        </w:r>
      </w:hyperlink>
      <w:r>
        <w:rPr>
          <w:rFonts w:ascii="Segoe UI" w:hAnsi="Segoe UI" w:cs="Segoe UI"/>
          <w:sz w:val="21"/>
          <w:szCs w:val="21"/>
        </w:rPr>
        <w:br/>
      </w:r>
      <w:r>
        <w:rPr>
          <w:rFonts w:ascii="Segoe UI" w:hAnsi="Segoe UI" w:cs="Segoe UI"/>
          <w:sz w:val="21"/>
          <w:szCs w:val="21"/>
        </w:rPr>
        <w:br/>
        <w:t>I have been teaching the code as part of my classes this year, it is fairly intuitive.</w:t>
      </w:r>
    </w:p>
    <w:sectPr w:rsidR="0061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C4"/>
    <w:rsid w:val="004574FF"/>
    <w:rsid w:val="005F58C4"/>
    <w:rsid w:val="0061742E"/>
    <w:rsid w:val="009B4684"/>
    <w:rsid w:val="00AB397C"/>
    <w:rsid w:val="00B676FC"/>
    <w:rsid w:val="00E0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6BC2"/>
  <w15:chartTrackingRefBased/>
  <w15:docId w15:val="{F25C2D76-0FB2-4280-B176-AAFE56B3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8C4"/>
    <w:rPr>
      <w:rFonts w:eastAsiaTheme="majorEastAsia" w:cstheme="majorBidi"/>
      <w:color w:val="272727" w:themeColor="text1" w:themeTint="D8"/>
    </w:rPr>
  </w:style>
  <w:style w:type="paragraph" w:styleId="Title">
    <w:name w:val="Title"/>
    <w:basedOn w:val="Normal"/>
    <w:next w:val="Normal"/>
    <w:link w:val="TitleChar"/>
    <w:uiPriority w:val="10"/>
    <w:qFormat/>
    <w:rsid w:val="005F5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8C4"/>
    <w:pPr>
      <w:spacing w:before="160"/>
      <w:jc w:val="center"/>
    </w:pPr>
    <w:rPr>
      <w:i/>
      <w:iCs/>
      <w:color w:val="404040" w:themeColor="text1" w:themeTint="BF"/>
    </w:rPr>
  </w:style>
  <w:style w:type="character" w:customStyle="1" w:styleId="QuoteChar">
    <w:name w:val="Quote Char"/>
    <w:basedOn w:val="DefaultParagraphFont"/>
    <w:link w:val="Quote"/>
    <w:uiPriority w:val="29"/>
    <w:rsid w:val="005F58C4"/>
    <w:rPr>
      <w:i/>
      <w:iCs/>
      <w:color w:val="404040" w:themeColor="text1" w:themeTint="BF"/>
    </w:rPr>
  </w:style>
  <w:style w:type="paragraph" w:styleId="ListParagraph">
    <w:name w:val="List Paragraph"/>
    <w:basedOn w:val="Normal"/>
    <w:uiPriority w:val="34"/>
    <w:qFormat/>
    <w:rsid w:val="005F58C4"/>
    <w:pPr>
      <w:ind w:left="720"/>
      <w:contextualSpacing/>
    </w:pPr>
  </w:style>
  <w:style w:type="character" w:styleId="IntenseEmphasis">
    <w:name w:val="Intense Emphasis"/>
    <w:basedOn w:val="DefaultParagraphFont"/>
    <w:uiPriority w:val="21"/>
    <w:qFormat/>
    <w:rsid w:val="005F58C4"/>
    <w:rPr>
      <w:i/>
      <w:iCs/>
      <w:color w:val="0F4761" w:themeColor="accent1" w:themeShade="BF"/>
    </w:rPr>
  </w:style>
  <w:style w:type="paragraph" w:styleId="IntenseQuote">
    <w:name w:val="Intense Quote"/>
    <w:basedOn w:val="Normal"/>
    <w:next w:val="Normal"/>
    <w:link w:val="IntenseQuoteChar"/>
    <w:uiPriority w:val="30"/>
    <w:qFormat/>
    <w:rsid w:val="005F5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8C4"/>
    <w:rPr>
      <w:i/>
      <w:iCs/>
      <w:color w:val="0F4761" w:themeColor="accent1" w:themeShade="BF"/>
    </w:rPr>
  </w:style>
  <w:style w:type="character" w:styleId="IntenseReference">
    <w:name w:val="Intense Reference"/>
    <w:basedOn w:val="DefaultParagraphFont"/>
    <w:uiPriority w:val="32"/>
    <w:qFormat/>
    <w:rsid w:val="005F58C4"/>
    <w:rPr>
      <w:b/>
      <w:bCs/>
      <w:smallCaps/>
      <w:color w:val="0F4761" w:themeColor="accent1" w:themeShade="BF"/>
      <w:spacing w:val="5"/>
    </w:rPr>
  </w:style>
  <w:style w:type="character" w:customStyle="1" w:styleId="white-space-pre">
    <w:name w:val="white-space-pre"/>
    <w:basedOn w:val="DefaultParagraphFont"/>
    <w:rsid w:val="0061742E"/>
  </w:style>
  <w:style w:type="character" w:styleId="Hyperlink">
    <w:name w:val="Hyperlink"/>
    <w:basedOn w:val="DefaultParagraphFont"/>
    <w:uiPriority w:val="99"/>
    <w:semiHidden/>
    <w:unhideWhenUsed/>
    <w:rsid w:val="0061742E"/>
    <w:rPr>
      <w:color w:val="0000FF"/>
      <w:u w:val="single"/>
    </w:rPr>
  </w:style>
  <w:style w:type="character" w:styleId="PlaceholderText">
    <w:name w:val="Placeholder Text"/>
    <w:basedOn w:val="DefaultParagraphFont"/>
    <w:uiPriority w:val="99"/>
    <w:semiHidden/>
    <w:rsid w:val="006174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s11222-023-103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2</cp:revision>
  <dcterms:created xsi:type="dcterms:W3CDTF">2024-07-08T13:01:00Z</dcterms:created>
  <dcterms:modified xsi:type="dcterms:W3CDTF">2024-07-08T13:03:00Z</dcterms:modified>
</cp:coreProperties>
</file>