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3707782F" w:rsid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xml:space="preserve">, </w:t>
      </w:r>
      <w:hyperlink r:id="rId8" w:history="1">
        <w:r w:rsidR="00357048" w:rsidRPr="00AC4A03">
          <w:rPr>
            <w:rStyle w:val="Hyperlink"/>
            <w:sz w:val="18"/>
            <w:szCs w:val="18"/>
          </w:rPr>
          <w:t>c.shultz@live.com</w:t>
        </w:r>
      </w:hyperlink>
    </w:p>
    <w:p w14:paraId="78CD5119" w14:textId="349A811C" w:rsidR="00357048" w:rsidRDefault="00357048" w:rsidP="00C16651">
      <w:pPr>
        <w:spacing w:after="0"/>
        <w:jc w:val="center"/>
        <w:rPr>
          <w:sz w:val="18"/>
          <w:szCs w:val="18"/>
        </w:rPr>
      </w:pPr>
    </w:p>
    <w:p w14:paraId="6C2C7578" w14:textId="5473DBEB" w:rsidR="00357048" w:rsidRPr="00472459" w:rsidRDefault="00357048" w:rsidP="00357048">
      <w:pPr>
        <w:jc w:val="center"/>
      </w:pPr>
      <w:r>
        <w:t>Donald Lacombe</w:t>
      </w:r>
    </w:p>
    <w:p w14:paraId="2657E770" w14:textId="72CCE232" w:rsidR="00357048" w:rsidRDefault="00357048" w:rsidP="00357048">
      <w:pPr>
        <w:spacing w:after="0"/>
        <w:jc w:val="center"/>
        <w:rPr>
          <w:sz w:val="18"/>
          <w:szCs w:val="18"/>
        </w:rPr>
      </w:pPr>
      <w:r>
        <w:rPr>
          <w:sz w:val="18"/>
          <w:szCs w:val="18"/>
        </w:rPr>
        <w:t>Texas Tech University</w:t>
      </w:r>
      <w:r w:rsidRPr="00C01CCF">
        <w:rPr>
          <w:sz w:val="18"/>
          <w:szCs w:val="18"/>
        </w:rPr>
        <w:t xml:space="preserve">, </w:t>
      </w:r>
      <w:hyperlink r:id="rId9" w:history="1">
        <w:r w:rsidRPr="00AC4A03">
          <w:rPr>
            <w:rStyle w:val="Hyperlink"/>
            <w:sz w:val="18"/>
            <w:szCs w:val="18"/>
          </w:rPr>
          <w:t>donald.lacombe@ttu.edu</w:t>
        </w:r>
      </w:hyperlink>
    </w:p>
    <w:p w14:paraId="1F12C025" w14:textId="77777777" w:rsidR="00357048" w:rsidRPr="00C01CCF" w:rsidRDefault="00357048" w:rsidP="00357048">
      <w:pPr>
        <w:spacing w:after="0"/>
        <w:jc w:val="center"/>
        <w:rPr>
          <w:sz w:val="18"/>
          <w:szCs w:val="18"/>
        </w:rPr>
      </w:pP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34CD8E32" w14:textId="7B4D9BEC" w:rsidR="00457EA3" w:rsidRDefault="00357048" w:rsidP="00457EA3">
      <w:r>
        <w:t xml:space="preserve">This study uses U.S. county-level agricultural data for 2017 to estimate a spatially explicit production function and analyze the impact of spatial heterogeneity on the corresponding input-output relationships. This is an important consideration given that traditional analyses are often temporal. Results indicate that significant spatial heterogeneity is present, </w:t>
      </w:r>
      <w:r w:rsidR="00F735A6">
        <w:t xml:space="preserve">the effects of which are presented via a quantile map. Clustering is apparent, with high productivity areas concentrated in the Midwest, Southeast, and Southwest (Southern CA), </w:t>
      </w:r>
      <w:r w:rsidR="002A168F">
        <w:t xml:space="preserve">with low productivity areas scattered amongst Texas, parts of the southwest, Appalachia, and parts of the Northeast. Spillover effects are quantified and presented. Spatial heterogeneity is a predominant factor in determining agricultural productivity and this paper quantifies its impact for policy makers, researchers, and agricultural producers.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The table below reveals that small farms, while high in numbers, comprise a small percentage of overall farm land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lastRenderedPageBreak/>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w:t>
      </w:r>
      <w:proofErr w:type="spellStart"/>
      <w:r>
        <w:t>Lkupitiya</w:t>
      </w:r>
      <w:proofErr w:type="spellEnd"/>
      <w:r>
        <w:t xml:space="preserve">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proofErr w:type="spellStart"/>
      <w:r w:rsidR="009166BE">
        <w:t>Debertin</w:t>
      </w:r>
      <w:proofErr w:type="spellEnd"/>
      <w:r w:rsidR="009166BE">
        <w:t xml:space="preserve">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w:t>
      </w:r>
      <w:proofErr w:type="spellStart"/>
      <w:r>
        <w:t>Chavas</w:t>
      </w:r>
      <w:proofErr w:type="spellEnd"/>
      <w:r>
        <w:t xml:space="preserve">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ultimate aim.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 xml:space="preserve">This </w:t>
      </w:r>
      <w:r w:rsidR="00CB06C5">
        <w:lastRenderedPageBreak/>
        <w:t>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Shaik (2014) shows that traditional measures of return to scale and technology are under- and over-estimated in states at the upper and lower quantiles of the distribution, respectively. </w:t>
      </w:r>
      <w:r w:rsidR="00E6490B">
        <w:t>Weiss (1996) provides an overview of the emerging role of spatial analysis in agricultural economics and defines the core opportunity of economists as the need to quantify the costs and benefits of detecting and exploring spatial variation. Yu et al. (2014) refer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fairly wide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provide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2F42C5CF" w14:textId="24430735" w:rsidR="003F66C5" w:rsidRDefault="00230F9E" w:rsidP="0076410F">
      <w:pPr>
        <w:rPr>
          <w:rFonts w:eastAsiaTheme="minorEastAsia"/>
        </w:rPr>
      </w:pPr>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e.g.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D06A07"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D06A07"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79AA0555" w:rsidR="00230F9E" w:rsidRDefault="005D6F91" w:rsidP="0076410F">
      <w:pPr>
        <w:rPr>
          <w:rFonts w:eastAsiaTheme="minorEastAsia"/>
        </w:rPr>
      </w:pPr>
      <w:r>
        <w:rPr>
          <w:rFonts w:eastAsiaTheme="minorEastAsia"/>
        </w:rPr>
        <w:t>Where</w:t>
      </w:r>
      <w:r w:rsidR="00230F9E">
        <w:rPr>
          <w:rFonts w:eastAsiaTheme="minorEastAsia"/>
        </w:rPr>
        <w:t xml:space="preserve"> </w:t>
      </w:r>
      <m:oMath>
        <m:r>
          <w:rPr>
            <w:rFonts w:ascii="Cambria Math" w:eastAsiaTheme="minorEastAsia" w:hAnsi="Cambria Math"/>
          </w:rPr>
          <m:t>i≠j</m:t>
        </m:r>
      </m:oMath>
      <w:r w:rsidR="00230F9E">
        <w:rPr>
          <w:rFonts w:eastAsiaTheme="minorEastAsia"/>
        </w:rPr>
        <w:t>, the value 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r w:rsidR="00230F9E">
        <w:rPr>
          <w:rFonts w:eastAsiaTheme="minorEastAsia"/>
        </w:rPr>
        <w:t xml:space="preserve"> and vice versa. This system represents a generalized example of spatial dependence, but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similar to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w:t>
      </w:r>
      <w:r w:rsidR="00BA70E7">
        <w:rPr>
          <w:rFonts w:eastAsiaTheme="minorEastAsia"/>
        </w:rPr>
        <w:lastRenderedPageBreak/>
        <w:t>that have been discussed in the spatial econometrics literature (</w:t>
      </w:r>
      <w:proofErr w:type="spellStart"/>
      <w:r w:rsidR="00BA70E7">
        <w:rPr>
          <w:rFonts w:eastAsiaTheme="minorEastAsia"/>
        </w:rPr>
        <w:t>Anselin</w:t>
      </w:r>
      <w:proofErr w:type="spellEnd"/>
      <w:r w:rsidR="00BA70E7">
        <w:rPr>
          <w:rFonts w:eastAsiaTheme="minorEastAsia"/>
        </w:rPr>
        <w:t xml:space="preserve">, 1995; Can, 1990; Can, 1992; Cliff and Ord, 1973; </w:t>
      </w:r>
      <w:proofErr w:type="spellStart"/>
      <w:r w:rsidR="00BA70E7">
        <w:rPr>
          <w:rFonts w:eastAsiaTheme="minorEastAsia"/>
        </w:rPr>
        <w:t>Dubin</w:t>
      </w:r>
      <w:proofErr w:type="spellEnd"/>
      <w:r w:rsidR="00BA70E7">
        <w:rPr>
          <w:rFonts w:eastAsiaTheme="minorEastAsia"/>
        </w:rPr>
        <w:t xml:space="preserve">, 1992; Kilkenny and </w:t>
      </w:r>
      <w:proofErr w:type="spellStart"/>
      <w:r w:rsidR="00BA70E7">
        <w:rPr>
          <w:rFonts w:eastAsiaTheme="minorEastAsia"/>
        </w:rPr>
        <w:t>Thisse</w:t>
      </w:r>
      <w:proofErr w:type="spellEnd"/>
      <w:r w:rsidR="00BA70E7">
        <w:rPr>
          <w:rFonts w:eastAsiaTheme="minorEastAsia"/>
        </w:rPr>
        <w:t xml:space="preserve">, 1999; </w:t>
      </w:r>
      <w:proofErr w:type="spellStart"/>
      <w:r w:rsidR="00BA70E7">
        <w:rPr>
          <w:rFonts w:eastAsiaTheme="minorEastAsia"/>
        </w:rPr>
        <w:t>LeSage</w:t>
      </w:r>
      <w:proofErr w:type="spellEnd"/>
      <w:r w:rsidR="00BA70E7">
        <w:rPr>
          <w:rFonts w:eastAsiaTheme="minorEastAsia"/>
        </w:rPr>
        <w:t xml:space="preserve">, 1997; Leung et al., 2000; McMillen, 1992; McMillen, 2003). </w:t>
      </w:r>
    </w:p>
    <w:p w14:paraId="259C71B0" w14:textId="503E4002" w:rsidR="00BA70E7" w:rsidRDefault="00BA70E7" w:rsidP="0076410F">
      <w:pPr>
        <w:rPr>
          <w:rFonts w:eastAsiaTheme="minorEastAsia"/>
        </w:rPr>
      </w:pPr>
      <w:r>
        <w:rPr>
          <w:rFonts w:eastAsiaTheme="minorEastAsia"/>
        </w:rPr>
        <w:t>In testing for the presence of spatial autocorrelation, the Moran’s I statistic is a generally accepted starting point. Moran’s I is a global statistic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w:t>
      </w:r>
      <w:proofErr w:type="spellStart"/>
      <w:r>
        <w:rPr>
          <w:rFonts w:eastAsiaTheme="minorEastAsia"/>
        </w:rPr>
        <w:t>oductivity</w:t>
      </w:r>
      <w:proofErr w:type="spellEnd"/>
      <w:r>
        <w:rPr>
          <w:rFonts w:eastAsiaTheme="minorEastAsia"/>
        </w:rPr>
        <w:t xml:space="preserve">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D06A07"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D06A07"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This provides a clear window to the degree of spatial h</w:t>
      </w:r>
      <w:proofErr w:type="spellStart"/>
      <w:r>
        <w:rPr>
          <w:rFonts w:eastAsiaTheme="minorEastAsia"/>
        </w:rPr>
        <w:t>eterogeneity</w:t>
      </w:r>
      <w:proofErr w:type="spellEnd"/>
      <w:r>
        <w:rPr>
          <w:rFonts w:eastAsiaTheme="minorEastAsia"/>
        </w:rPr>
        <w:t xml:space="preserve">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w:t>
      </w:r>
      <w:r>
        <w:rPr>
          <w:rFonts w:eastAsiaTheme="minorEastAsia"/>
        </w:rPr>
        <w:lastRenderedPageBreak/>
        <w:t xml:space="preserve">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t xml:space="preserve">It is important to consider the choice of a spatial weights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w:t>
      </w:r>
      <w:proofErr w:type="spellStart"/>
      <w:r>
        <w:rPr>
          <w:rFonts w:eastAsiaTheme="minorEastAsia"/>
        </w:rPr>
        <w:t>fect</w:t>
      </w:r>
      <w:proofErr w:type="spellEnd"/>
      <w:r>
        <w:rPr>
          <w:rFonts w:eastAsiaTheme="minorEastAsia"/>
        </w:rPr>
        <w:t xml:space="preserve">”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(i.e. the model must be written in reduced form) (LeSage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and also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used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w:lastRenderedPageBreak/>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is able to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596B16EA" w14:textId="5C050403" w:rsidR="001B68D9" w:rsidRDefault="001B68D9" w:rsidP="001B68D9"/>
    <w:p w14:paraId="4777D71C" w14:textId="45F952F5" w:rsidR="001B68D9" w:rsidRDefault="001B68D9" w:rsidP="001B68D9">
      <w:pPr>
        <w:rPr>
          <w:rFonts w:eastAsiaTheme="minorEastAsia"/>
        </w:rPr>
      </w:pPr>
      <w:r>
        <w:t xml:space="preserve">The dataset includes missing values in a small number of counties/variables (~2.5% of counties have at least one missing value). When this occurs, for variable </w:t>
      </w:r>
      <m:oMath>
        <m:r>
          <w:rPr>
            <w:rFonts w:ascii="Cambria Math" w:hAnsi="Cambria Math"/>
          </w:rPr>
          <m:t>i</m:t>
        </m:r>
      </m:oMath>
      <w:r>
        <w:rPr>
          <w:rFonts w:eastAsiaTheme="minorEastAsia"/>
        </w:rPr>
        <w:t xml:space="preserve">, state </w:t>
      </w:r>
      <m:oMath>
        <m:r>
          <w:rPr>
            <w:rFonts w:ascii="Cambria Math" w:eastAsiaTheme="minorEastAsia" w:hAnsi="Cambria Math"/>
          </w:rPr>
          <m:t>j</m:t>
        </m:r>
      </m:oMath>
      <w:r>
        <w:rPr>
          <w:rFonts w:eastAsiaTheme="minorEastAsia"/>
        </w:rPr>
        <w:t xml:space="preserve">, we impute the average value of variable </w:t>
      </w:r>
      <m:oMath>
        <m:r>
          <w:rPr>
            <w:rFonts w:ascii="Cambria Math" w:eastAsiaTheme="minorEastAsia" w:hAnsi="Cambria Math"/>
          </w:rPr>
          <m:t>i</m:t>
        </m:r>
      </m:oMath>
      <w:r>
        <w:rPr>
          <w:rFonts w:eastAsiaTheme="minorEastAsia"/>
        </w:rPr>
        <w:t xml:space="preserve"> for all other counties in state </w:t>
      </w:r>
      <m:oMath>
        <m:r>
          <w:rPr>
            <w:rFonts w:ascii="Cambria Math" w:eastAsiaTheme="minorEastAsia" w:hAnsi="Cambria Math"/>
          </w:rPr>
          <m:t>j</m:t>
        </m:r>
      </m:oMath>
      <w:r>
        <w:rPr>
          <w:rFonts w:eastAsiaTheme="minorEastAsia"/>
        </w:rPr>
        <w:t>.</w:t>
      </w:r>
    </w:p>
    <w:p w14:paraId="08F06A48" w14:textId="44896CBA" w:rsidR="00D17217" w:rsidRPr="007E0B9A" w:rsidRDefault="00D17217" w:rsidP="001B68D9">
      <w:pPr>
        <w:rPr>
          <w:color w:val="FF0000"/>
        </w:rPr>
      </w:pPr>
      <w:r w:rsidRPr="007E0B9A">
        <w:rPr>
          <w:rFonts w:eastAsiaTheme="minorEastAsia"/>
          <w:color w:val="FF0000"/>
        </w:rPr>
        <w:t xml:space="preserve">Discussion here of how variables are scaled before analysis (Don’s testing results file). </w:t>
      </w:r>
    </w:p>
    <w:p w14:paraId="4F5502A5" w14:textId="6F2A0076" w:rsidR="00B81E1D" w:rsidRDefault="00B81E1D" w:rsidP="001B68D9">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DC1894">
            <w:pPr>
              <w:spacing w:after="0"/>
              <w:jc w:val="center"/>
              <w:rPr>
                <w:b/>
                <w:bCs/>
              </w:rPr>
            </w:pPr>
            <w:r w:rsidRPr="00143EB0">
              <w:rPr>
                <w:b/>
                <w:bCs/>
              </w:rPr>
              <w:t>Variable</w:t>
            </w:r>
          </w:p>
        </w:tc>
        <w:tc>
          <w:tcPr>
            <w:tcW w:w="1200" w:type="dxa"/>
          </w:tcPr>
          <w:p w14:paraId="608417B9" w14:textId="529C7FC2" w:rsidR="00143EB0" w:rsidRPr="00143EB0" w:rsidRDefault="00143EB0" w:rsidP="00DC1894">
            <w:pPr>
              <w:spacing w:after="0"/>
              <w:jc w:val="center"/>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DC1894">
            <w:pPr>
              <w:spacing w:after="0"/>
              <w:jc w:val="center"/>
            </w:pPr>
            <w:r>
              <w:t>Net Income</w:t>
            </w:r>
          </w:p>
        </w:tc>
        <w:tc>
          <w:tcPr>
            <w:tcW w:w="1200" w:type="dxa"/>
          </w:tcPr>
          <w:p w14:paraId="5B203974" w14:textId="08AEEE4B" w:rsidR="00143EB0" w:rsidRPr="00143EB0" w:rsidRDefault="00143EB0" w:rsidP="00DC1894">
            <w:pPr>
              <w:spacing w:after="0"/>
              <w:jc w:val="center"/>
            </w:pPr>
            <w:r>
              <w:t>0.474</w:t>
            </w:r>
          </w:p>
        </w:tc>
      </w:tr>
      <w:tr w:rsidR="00143EB0" w14:paraId="5C319AE6" w14:textId="77777777" w:rsidTr="00143EB0">
        <w:trPr>
          <w:jc w:val="center"/>
        </w:trPr>
        <w:tc>
          <w:tcPr>
            <w:tcW w:w="1255" w:type="dxa"/>
          </w:tcPr>
          <w:p w14:paraId="505A12F5" w14:textId="6DC49D44" w:rsidR="00143EB0" w:rsidRPr="00143EB0" w:rsidRDefault="00143EB0" w:rsidP="00DC1894">
            <w:pPr>
              <w:spacing w:after="0"/>
              <w:jc w:val="center"/>
            </w:pPr>
            <w:r>
              <w:t>Labor</w:t>
            </w:r>
          </w:p>
        </w:tc>
        <w:tc>
          <w:tcPr>
            <w:tcW w:w="1200" w:type="dxa"/>
          </w:tcPr>
          <w:p w14:paraId="2A961F0A" w14:textId="744D5A2E" w:rsidR="00143EB0" w:rsidRPr="00143EB0" w:rsidRDefault="00143EB0" w:rsidP="00DC1894">
            <w:pPr>
              <w:spacing w:after="0"/>
              <w:jc w:val="center"/>
            </w:pPr>
            <w:r>
              <w:t>0.534</w:t>
            </w:r>
          </w:p>
        </w:tc>
      </w:tr>
      <w:tr w:rsidR="00143EB0" w14:paraId="73A9291D" w14:textId="77777777" w:rsidTr="00143EB0">
        <w:trPr>
          <w:jc w:val="center"/>
        </w:trPr>
        <w:tc>
          <w:tcPr>
            <w:tcW w:w="1255" w:type="dxa"/>
          </w:tcPr>
          <w:p w14:paraId="2E8C6867" w14:textId="3BB7BFAD" w:rsidR="00143EB0" w:rsidRDefault="00143EB0" w:rsidP="00DC1894">
            <w:pPr>
              <w:spacing w:after="0"/>
              <w:jc w:val="center"/>
            </w:pPr>
            <w:r>
              <w:t>Land</w:t>
            </w:r>
          </w:p>
        </w:tc>
        <w:tc>
          <w:tcPr>
            <w:tcW w:w="1200" w:type="dxa"/>
          </w:tcPr>
          <w:p w14:paraId="5B8E0D82" w14:textId="172C550B" w:rsidR="00143EB0" w:rsidRPr="00143EB0" w:rsidRDefault="00143EB0" w:rsidP="00DC1894">
            <w:pPr>
              <w:spacing w:after="0"/>
              <w:jc w:val="center"/>
            </w:pPr>
            <w:r>
              <w:t>0.726</w:t>
            </w:r>
          </w:p>
        </w:tc>
      </w:tr>
      <w:tr w:rsidR="00143EB0" w14:paraId="54824F86" w14:textId="77777777" w:rsidTr="00143EB0">
        <w:trPr>
          <w:jc w:val="center"/>
        </w:trPr>
        <w:tc>
          <w:tcPr>
            <w:tcW w:w="1255" w:type="dxa"/>
          </w:tcPr>
          <w:p w14:paraId="6526AFF2" w14:textId="5A32586F" w:rsidR="00143EB0" w:rsidRDefault="00143EB0" w:rsidP="00DC1894">
            <w:pPr>
              <w:spacing w:after="0"/>
              <w:jc w:val="center"/>
            </w:pPr>
            <w:r>
              <w:t>Machinery</w:t>
            </w:r>
          </w:p>
        </w:tc>
        <w:tc>
          <w:tcPr>
            <w:tcW w:w="1200" w:type="dxa"/>
          </w:tcPr>
          <w:p w14:paraId="1838C24A" w14:textId="1243613F" w:rsidR="00143EB0" w:rsidRPr="00143EB0" w:rsidRDefault="00143EB0" w:rsidP="00DC1894">
            <w:pPr>
              <w:spacing w:after="0"/>
              <w:jc w:val="center"/>
            </w:pPr>
            <w:r>
              <w:t>0.579</w:t>
            </w:r>
          </w:p>
        </w:tc>
      </w:tr>
      <w:tr w:rsidR="00143EB0" w14:paraId="41511F6D" w14:textId="77777777" w:rsidTr="00143EB0">
        <w:trPr>
          <w:jc w:val="center"/>
        </w:trPr>
        <w:tc>
          <w:tcPr>
            <w:tcW w:w="1255" w:type="dxa"/>
          </w:tcPr>
          <w:p w14:paraId="543E9676" w14:textId="75321B0F" w:rsidR="00143EB0" w:rsidRDefault="00143EB0" w:rsidP="00DC1894">
            <w:pPr>
              <w:spacing w:after="0"/>
              <w:jc w:val="center"/>
            </w:pPr>
            <w:r>
              <w:t>Fertilizer</w:t>
            </w:r>
          </w:p>
        </w:tc>
        <w:tc>
          <w:tcPr>
            <w:tcW w:w="1200" w:type="dxa"/>
          </w:tcPr>
          <w:p w14:paraId="001F06B6" w14:textId="152A6A86" w:rsidR="00143EB0" w:rsidRPr="00143EB0" w:rsidRDefault="00143EB0" w:rsidP="00DC1894">
            <w:pPr>
              <w:spacing w:after="0"/>
              <w:jc w:val="center"/>
            </w:pPr>
            <w:r>
              <w:t>0.517</w:t>
            </w:r>
          </w:p>
        </w:tc>
      </w:tr>
      <w:tr w:rsidR="00143EB0" w14:paraId="69CA6A11" w14:textId="77777777" w:rsidTr="00143EB0">
        <w:trPr>
          <w:jc w:val="center"/>
        </w:trPr>
        <w:tc>
          <w:tcPr>
            <w:tcW w:w="1255" w:type="dxa"/>
          </w:tcPr>
          <w:p w14:paraId="5524ECC3" w14:textId="79940DED" w:rsidR="00143EB0" w:rsidRDefault="00143EB0" w:rsidP="00DC1894">
            <w:pPr>
              <w:spacing w:after="0"/>
              <w:jc w:val="center"/>
            </w:pPr>
            <w:r>
              <w:t>Fuel</w:t>
            </w:r>
          </w:p>
        </w:tc>
        <w:tc>
          <w:tcPr>
            <w:tcW w:w="1200" w:type="dxa"/>
          </w:tcPr>
          <w:p w14:paraId="049BD86C" w14:textId="7979534F" w:rsidR="00143EB0" w:rsidRPr="00143EB0" w:rsidRDefault="00143EB0" w:rsidP="00DC1894">
            <w:pPr>
              <w:spacing w:after="0"/>
              <w:jc w:val="center"/>
            </w:pPr>
            <w:r>
              <w:t>0.455</w:t>
            </w:r>
          </w:p>
        </w:tc>
      </w:tr>
      <w:tr w:rsidR="00143EB0" w14:paraId="2A69BD35" w14:textId="77777777" w:rsidTr="00143EB0">
        <w:trPr>
          <w:jc w:val="center"/>
        </w:trPr>
        <w:tc>
          <w:tcPr>
            <w:tcW w:w="1255" w:type="dxa"/>
          </w:tcPr>
          <w:p w14:paraId="16182172" w14:textId="6123F8E7" w:rsidR="00143EB0" w:rsidRDefault="00143EB0" w:rsidP="00DC1894">
            <w:pPr>
              <w:spacing w:after="0"/>
              <w:jc w:val="center"/>
            </w:pPr>
            <w:r>
              <w:t>Tractors</w:t>
            </w:r>
          </w:p>
        </w:tc>
        <w:tc>
          <w:tcPr>
            <w:tcW w:w="1200" w:type="dxa"/>
          </w:tcPr>
          <w:p w14:paraId="36C7CF55" w14:textId="7568ACC5" w:rsidR="00143EB0" w:rsidRPr="00143EB0" w:rsidRDefault="00143EB0" w:rsidP="00DC1894">
            <w:pPr>
              <w:spacing w:after="0"/>
              <w:jc w:val="center"/>
            </w:pPr>
            <w:r>
              <w:t>0.513</w:t>
            </w:r>
          </w:p>
        </w:tc>
      </w:tr>
      <w:tr w:rsidR="00143EB0" w14:paraId="790CF4EA" w14:textId="77777777" w:rsidTr="00143EB0">
        <w:trPr>
          <w:jc w:val="center"/>
        </w:trPr>
        <w:tc>
          <w:tcPr>
            <w:tcW w:w="1255" w:type="dxa"/>
          </w:tcPr>
          <w:p w14:paraId="0C5C297E" w14:textId="7A2D31E5" w:rsidR="00143EB0" w:rsidRDefault="00143EB0" w:rsidP="00DC1894">
            <w:pPr>
              <w:spacing w:after="0"/>
              <w:jc w:val="center"/>
            </w:pPr>
            <w:r>
              <w:t>Trucks</w:t>
            </w:r>
          </w:p>
        </w:tc>
        <w:tc>
          <w:tcPr>
            <w:tcW w:w="1200" w:type="dxa"/>
          </w:tcPr>
          <w:p w14:paraId="46B06B30" w14:textId="371A80D9" w:rsidR="00143EB0" w:rsidRPr="00143EB0" w:rsidRDefault="00143EB0" w:rsidP="00DC1894">
            <w:pPr>
              <w:spacing w:after="0"/>
              <w:jc w:val="center"/>
            </w:pPr>
            <w:r>
              <w:t>0.474</w:t>
            </w:r>
          </w:p>
        </w:tc>
      </w:tr>
    </w:tbl>
    <w:p w14:paraId="014408FB" w14:textId="6AE1B4F8" w:rsidR="00BA70E7" w:rsidRDefault="00BA70E7" w:rsidP="0076410F">
      <w:pPr>
        <w:rPr>
          <w:rFonts w:eastAsiaTheme="minorEastAsia"/>
        </w:rPr>
      </w:pPr>
    </w:p>
    <w:p w14:paraId="6FE8774A" w14:textId="3471E461" w:rsidR="00B81E1D" w:rsidRDefault="00DC1894" w:rsidP="0076410F">
      <w:pPr>
        <w:rPr>
          <w:rFonts w:eastAsiaTheme="minorEastAsia"/>
        </w:rPr>
      </w:pPr>
      <w:r>
        <w:rPr>
          <w:rFonts w:eastAsiaTheme="minorEastAsia"/>
        </w:rPr>
        <w:lastRenderedPageBreak/>
        <w:t xml:space="preserve">The Moran’s I statistic is displayed above for our target (net income) and input variables. Results were computed in </w:t>
      </w:r>
      <w:proofErr w:type="spellStart"/>
      <w:r>
        <w:rPr>
          <w:rFonts w:eastAsiaTheme="minorEastAsia"/>
        </w:rPr>
        <w:t>GeoDa</w:t>
      </w:r>
      <w:proofErr w:type="spellEnd"/>
      <w:r>
        <w:rPr>
          <w:rFonts w:eastAsiaTheme="minorEastAsia"/>
        </w:rPr>
        <w:t xml:space="preserve"> using a rook contiguity matrix </w:t>
      </w:r>
      <m:oMath>
        <m:r>
          <w:rPr>
            <w:rFonts w:ascii="Cambria Math" w:eastAsiaTheme="minorEastAsia" w:hAnsi="Cambria Math"/>
          </w:rPr>
          <m:t>W</m:t>
        </m:r>
      </m:oMath>
      <w:r>
        <w:rPr>
          <w:rFonts w:eastAsiaTheme="minorEastAsia"/>
        </w:rPr>
        <w:t xml:space="preserve"> with value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w:t>
      </w:r>
      <w:r w:rsidR="00B81E1D">
        <w:rPr>
          <w:rFonts w:eastAsiaTheme="minorEastAsia"/>
        </w:rPr>
        <w:t>The degree of spatial autocorrelation is positive and relatively high for all variables, ranging from approximately 0.</w:t>
      </w:r>
      <w:r w:rsidR="00143EB0">
        <w:rPr>
          <w:rFonts w:eastAsiaTheme="minorEastAsia"/>
        </w:rPr>
        <w:t>455</w:t>
      </w:r>
      <w:r w:rsidR="00B81E1D">
        <w:rPr>
          <w:rFonts w:eastAsiaTheme="minorEastAsia"/>
        </w:rPr>
        <w:t xml:space="preserve"> to 0.</w:t>
      </w:r>
      <w:r w:rsidR="00143EB0">
        <w:rPr>
          <w:rFonts w:eastAsiaTheme="minorEastAsia"/>
        </w:rPr>
        <w:t>726</w:t>
      </w:r>
      <w:r w:rsidR="00B81E1D">
        <w:rPr>
          <w:rFonts w:eastAsiaTheme="minorEastAsia"/>
        </w:rPr>
        <w:t xml:space="preserve">. </w:t>
      </w:r>
      <w:r>
        <w:rPr>
          <w:rFonts w:eastAsiaTheme="minorEastAsia"/>
        </w:rPr>
        <w:t>This provides sufficient justification for further exploration of the impact of space on agricultural production.</w:t>
      </w:r>
    </w:p>
    <w:p w14:paraId="50A87CDA" w14:textId="6603A22F" w:rsidR="00B81E1D" w:rsidRDefault="00B81E1D" w:rsidP="0076410F">
      <w:pPr>
        <w:rPr>
          <w:rFonts w:eastAsiaTheme="minorEastAsia"/>
        </w:rPr>
      </w:pPr>
      <w:r>
        <w:rPr>
          <w:rFonts w:eastAsiaTheme="minorEastAsia"/>
        </w:rPr>
        <w:t xml:space="preserve">In examination of local spatial autocorrelation, the LISA method of analysis is employed via </w:t>
      </w:r>
      <w:proofErr w:type="spellStart"/>
      <w:r>
        <w:rPr>
          <w:rFonts w:eastAsiaTheme="minorEastAsia"/>
        </w:rPr>
        <w:t>GeoDa</w:t>
      </w:r>
      <w:proofErr w:type="spellEnd"/>
      <w:r>
        <w:rPr>
          <w:rFonts w:eastAsiaTheme="minorEastAsia"/>
        </w:rPr>
        <w:t>,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0"/>
                    <a:stretch>
                      <a:fillRect/>
                    </a:stretch>
                  </pic:blipFill>
                  <pic:spPr>
                    <a:xfrm>
                      <a:off x="0" y="0"/>
                      <a:ext cx="5943600" cy="5640070"/>
                    </a:xfrm>
                    <a:prstGeom prst="rect">
                      <a:avLst/>
                    </a:prstGeom>
                  </pic:spPr>
                </pic:pic>
              </a:graphicData>
            </a:graphic>
          </wp:inline>
        </w:drawing>
      </w:r>
    </w:p>
    <w:p w14:paraId="7AF57154" w14:textId="613305EE" w:rsidR="00B81E1D" w:rsidRDefault="00AE3D07" w:rsidP="0076410F">
      <w:pPr>
        <w:rPr>
          <w:rFonts w:eastAsiaTheme="minorEastAsia"/>
        </w:rPr>
      </w:pPr>
      <w:r>
        <w:rPr>
          <w:rFonts w:eastAsiaTheme="minorEastAsia"/>
        </w:rPr>
        <w:t xml:space="preserve">Specification testing results are displayed below. The </w:t>
      </w:r>
      <w:proofErr w:type="spellStart"/>
      <w:r>
        <w:rPr>
          <w:rFonts w:eastAsiaTheme="minorEastAsia"/>
        </w:rPr>
        <w:t>Florax</w:t>
      </w:r>
      <w:proofErr w:type="spellEnd"/>
      <w:r>
        <w:rPr>
          <w:rFonts w:eastAsiaTheme="minorEastAsia"/>
        </w:rPr>
        <w:t xml:space="preserve"> et al. (2003) procedure indicates a rejection of the null hypothesis that </w:t>
      </w:r>
      <m:oMath>
        <m:r>
          <w:rPr>
            <w:rFonts w:ascii="Cambria Math" w:eastAsiaTheme="minorEastAsia" w:hAnsi="Cambria Math"/>
          </w:rPr>
          <m:t>ρ=0</m:t>
        </m:r>
      </m:oMath>
      <w:r>
        <w:rPr>
          <w:rFonts w:eastAsiaTheme="minorEastAsia"/>
        </w:rPr>
        <w:t xml:space="preserve"> in the generalized test, but fails to reject in the robust variety. Also, the </w:t>
      </w:r>
      <w:r>
        <w:rPr>
          <w:rFonts w:eastAsiaTheme="minorEastAsia"/>
        </w:rPr>
        <w:lastRenderedPageBreak/>
        <w:t xml:space="preserve">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w:t>
      </w:r>
      <w:r w:rsidR="00DC1894">
        <w:rPr>
          <w:rFonts w:eastAsiaTheme="minorEastAsia"/>
        </w:rPr>
        <w:t>1</w:t>
      </w:r>
      <w:r>
        <w:rPr>
          <w:rFonts w:eastAsiaTheme="minorEastAsia"/>
        </w:rPr>
        <w:t xml:space="preserve">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In support of this conclusion, </w:t>
      </w:r>
      <w:proofErr w:type="spellStart"/>
      <w:r>
        <w:rPr>
          <w:rFonts w:eastAsiaTheme="minorEastAsia"/>
        </w:rPr>
        <w:t>LeSage</w:t>
      </w:r>
      <w:proofErr w:type="spellEnd"/>
      <w:r>
        <w:rPr>
          <w:rFonts w:eastAsiaTheme="minorEastAsia"/>
        </w:rPr>
        <w:t xml:space="preserve"> and Pace often argue that the SDM is the best place to start when considering model specification.</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6965E9D8" w14:textId="2AD845C5" w:rsidR="00D17217" w:rsidRDefault="00D17217" w:rsidP="0076410F">
      <w:pPr>
        <w:rPr>
          <w:rFonts w:eastAsiaTheme="minorEastAsia"/>
        </w:rPr>
      </w:pPr>
    </w:p>
    <w:p w14:paraId="2EAFCA3F" w14:textId="5AA2781C" w:rsidR="00AE3D07" w:rsidRDefault="000D462E" w:rsidP="0076410F">
      <w:pPr>
        <w:rPr>
          <w:rFonts w:eastAsiaTheme="minorEastAsia"/>
        </w:rPr>
      </w:pPr>
      <w:r>
        <w:rPr>
          <w:rFonts w:eastAsiaTheme="minorEastAsia"/>
        </w:rPr>
        <w:t>The table below</w:t>
      </w:r>
      <w:r w:rsidR="00AE3D07">
        <w:rPr>
          <w:rFonts w:eastAsiaTheme="minorEastAsia"/>
        </w:rPr>
        <w:t xml:space="preserve"> presents the results of the SDM model for U.S. mainland counties in 201</w:t>
      </w:r>
      <w:r w:rsidR="00774079">
        <w:rPr>
          <w:rFonts w:eastAsiaTheme="minorEastAsia"/>
        </w:rPr>
        <w:t>7</w:t>
      </w:r>
      <w:r w:rsidR="00AE3D07">
        <w:rPr>
          <w:rFonts w:eastAsiaTheme="minorEastAsia"/>
        </w:rPr>
        <w:t>.</w:t>
      </w:r>
      <w:r w:rsidR="008239DC">
        <w:rPr>
          <w:rFonts w:eastAsiaTheme="minorEastAsia"/>
        </w:rPr>
        <w:t xml:space="preserve"> The model includes 3,069 observations and its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239DC">
        <w:rPr>
          <w:rFonts w:eastAsiaTheme="minorEastAsia"/>
        </w:rPr>
        <w:t xml:space="preserve"> is </w:t>
      </w:r>
      <w:r w:rsidR="008239DC" w:rsidRPr="008239DC">
        <w:rPr>
          <w:rFonts w:eastAsiaTheme="minorEastAsia"/>
        </w:rPr>
        <w:t>0.7929</w:t>
      </w:r>
      <w:r w:rsidR="008239DC">
        <w:rPr>
          <w:rFonts w:eastAsiaTheme="minorEastAsia"/>
        </w:rPr>
        <w:t>.</w:t>
      </w:r>
      <w:r w:rsidR="00AE3D07">
        <w:rPr>
          <w:rFonts w:eastAsiaTheme="minorEastAsia"/>
        </w:rPr>
        <w:t xml:space="preserve"> Most notably, </w:t>
      </w:r>
      <m:oMath>
        <m:r>
          <w:rPr>
            <w:rFonts w:ascii="Cambria Math" w:eastAsiaTheme="minorEastAsia" w:hAnsi="Cambria Math"/>
          </w:rPr>
          <m:t>ρ</m:t>
        </m:r>
      </m:oMath>
      <w:r w:rsidR="00AE3D07">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3BB60016" w14:textId="49463210" w:rsidR="008239DC" w:rsidRPr="008239DC" w:rsidRDefault="008239DC" w:rsidP="0076410F">
      <w:pPr>
        <w:rPr>
          <w:rFonts w:eastAsiaTheme="minorEastAsia"/>
          <w:b/>
          <w:bCs/>
          <w:i/>
          <w:iCs/>
          <w:color w:val="FF0000"/>
        </w:rPr>
      </w:pPr>
      <w:r w:rsidRPr="008239DC">
        <w:rPr>
          <w:rFonts w:eastAsiaTheme="minorEastAsia"/>
          <w:b/>
          <w:bCs/>
          <w:i/>
          <w:iCs/>
          <w:color w:val="FF0000"/>
        </w:rPr>
        <w:t>Discussion of Direct Effects Estimates</w:t>
      </w:r>
    </w:p>
    <w:p w14:paraId="77FF107E" w14:textId="2452669A" w:rsidR="00CC28BF"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w:t>
      </w:r>
      <w:proofErr w:type="spellStart"/>
      <w:r>
        <w:rPr>
          <w:rFonts w:eastAsiaTheme="minorEastAsia"/>
        </w:rPr>
        <w:t>rd</w:t>
      </w:r>
      <w:proofErr w:type="spellEnd"/>
      <w:r>
        <w:rPr>
          <w:rFonts w:eastAsiaTheme="minorEastAsia"/>
        </w:rPr>
        <w:t xml:space="preserve"> deviations. </w:t>
      </w:r>
      <w:r w:rsidR="00CC28BF">
        <w:rPr>
          <w:rFonts w:eastAsiaTheme="minorEastAsia"/>
        </w:rPr>
        <w:t xml:space="preserve">Results indicate that fuel, labor, and machinery have a positive impact with direct effects estimates of 3.578, 0.401, and 0.341, respectively. </w:t>
      </w:r>
    </w:p>
    <w:p w14:paraId="5BA3C241" w14:textId="34601427" w:rsidR="008239DC" w:rsidRPr="008239DC" w:rsidRDefault="000E1884" w:rsidP="0076410F">
      <w:pPr>
        <w:rPr>
          <w:rFonts w:eastAsiaTheme="minorEastAsia"/>
        </w:rPr>
      </w:pPr>
      <w:r>
        <w:rPr>
          <w:rFonts w:eastAsiaTheme="minorEastAsia"/>
        </w:rPr>
        <w:t>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increase in labor results in only a 0.</w:t>
      </w:r>
      <w:r w:rsidR="00CC28BF">
        <w:rPr>
          <w:rFonts w:eastAsiaTheme="minorEastAsia"/>
        </w:rPr>
        <w:t>401</w:t>
      </w:r>
      <w:r>
        <w:rPr>
          <w:rFonts w:eastAsiaTheme="minorEastAsia"/>
        </w:rPr>
        <w:t xml:space="preserve"> standard deviation increase in net income. Conversely, a one standard deviation increase in </w:t>
      </w:r>
      <w:r w:rsidR="00D17217">
        <w:rPr>
          <w:rFonts w:eastAsiaTheme="minorEastAsia"/>
        </w:rPr>
        <w:t xml:space="preserve">fuel </w:t>
      </w:r>
      <w:r>
        <w:rPr>
          <w:rFonts w:eastAsiaTheme="minorEastAsia"/>
        </w:rPr>
        <w:t xml:space="preserve">results in a </w:t>
      </w:r>
      <w:r w:rsidR="00D17217">
        <w:rPr>
          <w:rFonts w:eastAsiaTheme="minorEastAsia"/>
        </w:rPr>
        <w:t xml:space="preserve">3.578 </w:t>
      </w:r>
      <w:r>
        <w:rPr>
          <w:rFonts w:eastAsiaTheme="minorEastAsia"/>
        </w:rPr>
        <w:t xml:space="preserve">standard deviation increase in net income. This provides an empirical demonstration of the relative importance of </w:t>
      </w:r>
      <w:r w:rsidR="00D17217">
        <w:rPr>
          <w:rFonts w:eastAsiaTheme="minorEastAsia"/>
        </w:rPr>
        <w:t xml:space="preserve">fuel </w:t>
      </w:r>
      <w:r>
        <w:rPr>
          <w:rFonts w:eastAsiaTheme="minorEastAsia"/>
        </w:rPr>
        <w:t xml:space="preserve">to labor in today’s agricultural production system. </w:t>
      </w:r>
    </w:p>
    <w:p w14:paraId="003186E8" w14:textId="64F1DC28" w:rsidR="00AE3D07" w:rsidRDefault="00D17217" w:rsidP="0076410F">
      <w:pPr>
        <w:rPr>
          <w:rFonts w:eastAsiaTheme="minorEastAsia"/>
        </w:rPr>
      </w:pPr>
      <w:r>
        <w:rPr>
          <w:rFonts w:eastAsiaTheme="minorEastAsia"/>
        </w:rPr>
        <w:t xml:space="preserve">Fertilizer, land, tractors, and trucks have a negative effect on net income, </w:t>
      </w:r>
      <w:r w:rsidR="000E1884">
        <w:rPr>
          <w:rFonts w:eastAsiaTheme="minorEastAsia"/>
        </w:rPr>
        <w:t xml:space="preserve">which may be explained by the hypothesis that </w:t>
      </w:r>
      <w:r>
        <w:rPr>
          <w:rFonts w:eastAsiaTheme="minorEastAsia"/>
        </w:rPr>
        <w:t xml:space="preserve">(with the exception of fertilizer), </w:t>
      </w:r>
      <w:r w:rsidR="000E1884">
        <w:rPr>
          <w:rFonts w:eastAsiaTheme="minorEastAsia"/>
        </w:rPr>
        <w:t xml:space="preserve">these are </w:t>
      </w:r>
      <w:r>
        <w:rPr>
          <w:rFonts w:eastAsiaTheme="minorEastAsia"/>
        </w:rPr>
        <w:t xml:space="preserve">largely </w:t>
      </w:r>
      <w:r w:rsidR="000E1884">
        <w:rPr>
          <w:rFonts w:eastAsiaTheme="minorEastAsia"/>
        </w:rPr>
        <w:t xml:space="preserve">assets held by the owner that may or may not directly add to the net income, and may involve debt service that takes away from net income. </w:t>
      </w:r>
    </w:p>
    <w:p w14:paraId="2D97C904" w14:textId="596A1FA1" w:rsidR="008239DC" w:rsidRPr="008239DC" w:rsidRDefault="008239DC" w:rsidP="0076410F">
      <w:pPr>
        <w:rPr>
          <w:rFonts w:eastAsiaTheme="minorEastAsia"/>
          <w:b/>
          <w:bCs/>
          <w:i/>
          <w:iCs/>
          <w:color w:val="FF0000"/>
        </w:rPr>
      </w:pPr>
      <w:r w:rsidRPr="008239DC">
        <w:rPr>
          <w:rFonts w:eastAsiaTheme="minorEastAsia"/>
          <w:b/>
          <w:bCs/>
          <w:i/>
          <w:iCs/>
          <w:color w:val="FF0000"/>
        </w:rPr>
        <w:t>Discussion of Spillover Effects</w:t>
      </w:r>
    </w:p>
    <w:p w14:paraId="48AC8019" w14:textId="574C554E"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in a given county. It is important to consider that spatially significant variables may be </w:t>
      </w:r>
      <w:r>
        <w:rPr>
          <w:rFonts w:eastAsiaTheme="minorEastAsia"/>
        </w:rPr>
        <w:lastRenderedPageBreak/>
        <w:t>explained by the fact that counties near one another have similar characteristics, and thus engage in similar agricultural activity with similar resources.</w:t>
      </w:r>
    </w:p>
    <w:p w14:paraId="267167CE" w14:textId="422AC519" w:rsidR="008239DC" w:rsidRPr="008239DC" w:rsidRDefault="008239DC" w:rsidP="0076410F">
      <w:pPr>
        <w:rPr>
          <w:rFonts w:eastAsiaTheme="minorEastAsia"/>
          <w:b/>
          <w:bCs/>
          <w:i/>
          <w:iCs/>
          <w:color w:val="FF0000"/>
        </w:rPr>
      </w:pPr>
      <w:r w:rsidRPr="008239DC">
        <w:rPr>
          <w:rFonts w:eastAsiaTheme="minorEastAsia"/>
          <w:b/>
          <w:bCs/>
          <w:i/>
          <w:iCs/>
          <w:color w:val="FF0000"/>
        </w:rPr>
        <w:t>Comparison of These Results to Literature</w:t>
      </w:r>
    </w:p>
    <w:p w14:paraId="0B3A2574" w14:textId="366F1E05" w:rsidR="00974B96" w:rsidRPr="004502BD" w:rsidRDefault="000E1884" w:rsidP="003E26B8">
      <w:pPr>
        <w:rPr>
          <w:rFonts w:eastAsiaTheme="minorEastAsia"/>
        </w:rPr>
      </w:pPr>
      <w:r>
        <w:rPr>
          <w:rFonts w:eastAsiaTheme="minorEastAsia"/>
        </w:rPr>
        <w:t xml:space="preserve">These results align with those found by Yu et al. (2014) in that indirect effects are not shown to be statistically significant in agricultural production. However, their direction is still worth noting. E.g.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w:t>
      </w:r>
      <w:proofErr w:type="spellStart"/>
      <w:r w:rsidR="00BA03A9">
        <w:rPr>
          <w:rFonts w:eastAsiaTheme="minorEastAsia"/>
        </w:rPr>
        <w:t>ect</w:t>
      </w:r>
      <w:proofErr w:type="spellEnd"/>
      <w:r w:rsidR="00BA03A9">
        <w:rPr>
          <w:rFonts w:eastAsiaTheme="minorEastAsia"/>
        </w:rPr>
        <w:t xml:space="preserve"> on the net income of neighboring counties. </w:t>
      </w:r>
      <w:r w:rsidR="00BB7DF3">
        <w:rPr>
          <w:rFonts w:eastAsiaTheme="minorEastAsia"/>
          <w:noProof/>
          <w:color w:val="FF0000"/>
        </w:rPr>
        <w:t xml:space="preserve"> </w:t>
      </w:r>
    </w:p>
    <w:tbl>
      <w:tblPr>
        <w:tblStyle w:val="TableGrid"/>
        <w:tblW w:w="0" w:type="auto"/>
        <w:tblLook w:val="04A0" w:firstRow="1" w:lastRow="0" w:firstColumn="1" w:lastColumn="0" w:noHBand="0" w:noVBand="1"/>
      </w:tblPr>
      <w:tblGrid>
        <w:gridCol w:w="1560"/>
        <w:gridCol w:w="1353"/>
        <w:gridCol w:w="1225"/>
        <w:gridCol w:w="1225"/>
        <w:gridCol w:w="1225"/>
      </w:tblGrid>
      <w:tr w:rsidR="00974B96" w14:paraId="663D9738" w14:textId="77777777" w:rsidTr="007D02D5">
        <w:tc>
          <w:tcPr>
            <w:tcW w:w="1560" w:type="dxa"/>
          </w:tcPr>
          <w:p w14:paraId="3E2B93BB" w14:textId="0399B0DE" w:rsidR="00974B96" w:rsidRPr="007D02D5" w:rsidRDefault="00974B96" w:rsidP="00974B96">
            <w:pPr>
              <w:spacing w:after="0"/>
              <w:jc w:val="center"/>
              <w:rPr>
                <w:b/>
                <w:bCs/>
                <w:noProof/>
              </w:rPr>
            </w:pPr>
            <w:r w:rsidRPr="007D02D5">
              <w:rPr>
                <w:b/>
                <w:bCs/>
                <w:noProof/>
              </w:rPr>
              <w:t>Variable</w:t>
            </w:r>
          </w:p>
        </w:tc>
        <w:tc>
          <w:tcPr>
            <w:tcW w:w="1353" w:type="dxa"/>
          </w:tcPr>
          <w:p w14:paraId="28CF3D69" w14:textId="480684AE" w:rsidR="00974B96" w:rsidRPr="007D02D5" w:rsidRDefault="00974B96" w:rsidP="00974B96">
            <w:pPr>
              <w:spacing w:after="0"/>
              <w:jc w:val="center"/>
              <w:rPr>
                <w:b/>
                <w:bCs/>
                <w:noProof/>
              </w:rPr>
            </w:pPr>
            <w:r w:rsidRPr="007D02D5">
              <w:rPr>
                <w:b/>
                <w:bCs/>
                <w:noProof/>
              </w:rPr>
              <w:t>Coefficient</w:t>
            </w:r>
          </w:p>
        </w:tc>
        <w:tc>
          <w:tcPr>
            <w:tcW w:w="1225" w:type="dxa"/>
          </w:tcPr>
          <w:p w14:paraId="31739BC5" w14:textId="55AF153D" w:rsidR="00974B96" w:rsidRPr="007D02D5" w:rsidRDefault="00974B96" w:rsidP="00974B96">
            <w:pPr>
              <w:spacing w:after="0"/>
              <w:jc w:val="center"/>
              <w:rPr>
                <w:b/>
                <w:bCs/>
                <w:noProof/>
              </w:rPr>
            </w:pPr>
            <w:r w:rsidRPr="007D02D5">
              <w:rPr>
                <w:b/>
                <w:bCs/>
                <w:noProof/>
              </w:rPr>
              <w:t>Direct</w:t>
            </w:r>
          </w:p>
        </w:tc>
        <w:tc>
          <w:tcPr>
            <w:tcW w:w="1225" w:type="dxa"/>
          </w:tcPr>
          <w:p w14:paraId="3B2B9801" w14:textId="2807BE5A" w:rsidR="00974B96" w:rsidRPr="007D02D5" w:rsidRDefault="00974B96" w:rsidP="00974B96">
            <w:pPr>
              <w:spacing w:after="0"/>
              <w:jc w:val="center"/>
              <w:rPr>
                <w:b/>
                <w:bCs/>
                <w:noProof/>
              </w:rPr>
            </w:pPr>
            <w:r w:rsidRPr="007D02D5">
              <w:rPr>
                <w:b/>
                <w:bCs/>
                <w:noProof/>
              </w:rPr>
              <w:t>Indirect</w:t>
            </w:r>
          </w:p>
        </w:tc>
        <w:tc>
          <w:tcPr>
            <w:tcW w:w="1225" w:type="dxa"/>
          </w:tcPr>
          <w:p w14:paraId="12732420" w14:textId="4ECC6AF7" w:rsidR="00974B96" w:rsidRPr="007D02D5" w:rsidRDefault="00974B96" w:rsidP="00974B96">
            <w:pPr>
              <w:spacing w:after="0"/>
              <w:jc w:val="center"/>
              <w:rPr>
                <w:b/>
                <w:bCs/>
                <w:noProof/>
              </w:rPr>
            </w:pPr>
            <w:r w:rsidRPr="007D02D5">
              <w:rPr>
                <w:b/>
                <w:bCs/>
                <w:noProof/>
              </w:rPr>
              <w:t>Total</w:t>
            </w:r>
          </w:p>
        </w:tc>
      </w:tr>
      <w:tr w:rsidR="00974B96" w14:paraId="4552CE48" w14:textId="77777777" w:rsidTr="007D02D5">
        <w:tc>
          <w:tcPr>
            <w:tcW w:w="1560" w:type="dxa"/>
          </w:tcPr>
          <w:p w14:paraId="63DF3701" w14:textId="6D907D15" w:rsidR="00974B96" w:rsidRPr="00974B96" w:rsidRDefault="00974B96" w:rsidP="00974B96">
            <w:pPr>
              <w:spacing w:after="0"/>
              <w:jc w:val="center"/>
              <w:rPr>
                <w:noProof/>
              </w:rPr>
            </w:pPr>
            <w:r w:rsidRPr="00974B96">
              <w:rPr>
                <w:noProof/>
              </w:rPr>
              <w:t>Constant</w:t>
            </w:r>
          </w:p>
        </w:tc>
        <w:tc>
          <w:tcPr>
            <w:tcW w:w="1353" w:type="dxa"/>
          </w:tcPr>
          <w:p w14:paraId="054DFE47" w14:textId="11545D07" w:rsidR="00974B96" w:rsidRPr="00974B96" w:rsidRDefault="00974B96" w:rsidP="00974B96">
            <w:pPr>
              <w:spacing w:after="0"/>
              <w:jc w:val="center"/>
              <w:rPr>
                <w:noProof/>
              </w:rPr>
            </w:pPr>
            <w:r>
              <w:rPr>
                <w:noProof/>
              </w:rPr>
              <w:t>0.557***</w:t>
            </w:r>
          </w:p>
        </w:tc>
        <w:tc>
          <w:tcPr>
            <w:tcW w:w="1225" w:type="dxa"/>
          </w:tcPr>
          <w:p w14:paraId="1C20A643" w14:textId="4075CB58" w:rsidR="00974B96" w:rsidRPr="00974B96" w:rsidRDefault="00974B96" w:rsidP="00974B96">
            <w:pPr>
              <w:spacing w:after="0"/>
              <w:jc w:val="center"/>
              <w:rPr>
                <w:noProof/>
              </w:rPr>
            </w:pPr>
          </w:p>
        </w:tc>
        <w:tc>
          <w:tcPr>
            <w:tcW w:w="1225" w:type="dxa"/>
          </w:tcPr>
          <w:p w14:paraId="2B972239" w14:textId="22A97B34" w:rsidR="00974B96" w:rsidRPr="00974B96" w:rsidRDefault="00974B96" w:rsidP="00974B96">
            <w:pPr>
              <w:spacing w:after="0"/>
              <w:jc w:val="center"/>
              <w:rPr>
                <w:noProof/>
              </w:rPr>
            </w:pPr>
          </w:p>
        </w:tc>
        <w:tc>
          <w:tcPr>
            <w:tcW w:w="1225" w:type="dxa"/>
          </w:tcPr>
          <w:p w14:paraId="60089BED" w14:textId="77777777" w:rsidR="00974B96" w:rsidRPr="00974B96" w:rsidRDefault="00974B96" w:rsidP="00974B96">
            <w:pPr>
              <w:spacing w:after="0"/>
              <w:jc w:val="center"/>
              <w:rPr>
                <w:noProof/>
              </w:rPr>
            </w:pPr>
          </w:p>
        </w:tc>
      </w:tr>
      <w:tr w:rsidR="00974B96" w14:paraId="292AF06B" w14:textId="77777777" w:rsidTr="007D02D5">
        <w:tc>
          <w:tcPr>
            <w:tcW w:w="1560" w:type="dxa"/>
          </w:tcPr>
          <w:p w14:paraId="14C06B50" w14:textId="3F34AA22" w:rsidR="00974B96" w:rsidRPr="00974B96" w:rsidRDefault="00974B96" w:rsidP="00974B96">
            <w:pPr>
              <w:spacing w:after="0"/>
              <w:jc w:val="center"/>
              <w:rPr>
                <w:noProof/>
              </w:rPr>
            </w:pPr>
            <w:r w:rsidRPr="00974B96">
              <w:rPr>
                <w:noProof/>
              </w:rPr>
              <w:t>Fertilizer</w:t>
            </w:r>
          </w:p>
        </w:tc>
        <w:tc>
          <w:tcPr>
            <w:tcW w:w="1353" w:type="dxa"/>
          </w:tcPr>
          <w:p w14:paraId="34E196A8" w14:textId="1B919A3F" w:rsidR="00974B96" w:rsidRPr="00974B96" w:rsidRDefault="00974B96" w:rsidP="00974B96">
            <w:pPr>
              <w:spacing w:after="0"/>
              <w:jc w:val="center"/>
              <w:rPr>
                <w:noProof/>
              </w:rPr>
            </w:pPr>
            <w:r>
              <w:rPr>
                <w:noProof/>
              </w:rPr>
              <w:t>-0.170</w:t>
            </w:r>
          </w:p>
        </w:tc>
        <w:tc>
          <w:tcPr>
            <w:tcW w:w="1225" w:type="dxa"/>
          </w:tcPr>
          <w:p w14:paraId="4D5D8685" w14:textId="42BD10CA" w:rsidR="00974B96" w:rsidRPr="00974B96" w:rsidRDefault="00FA11BC" w:rsidP="00974B96">
            <w:pPr>
              <w:spacing w:after="0"/>
              <w:jc w:val="center"/>
              <w:rPr>
                <w:noProof/>
              </w:rPr>
            </w:pPr>
            <w:r>
              <w:rPr>
                <w:noProof/>
              </w:rPr>
              <w:t>-0.232**</w:t>
            </w:r>
          </w:p>
        </w:tc>
        <w:tc>
          <w:tcPr>
            <w:tcW w:w="1225" w:type="dxa"/>
          </w:tcPr>
          <w:p w14:paraId="17FE6DD7" w14:textId="4B10B8BF" w:rsidR="00974B96" w:rsidRPr="00974B96" w:rsidRDefault="00FA11BC" w:rsidP="00974B96">
            <w:pPr>
              <w:spacing w:after="0"/>
              <w:jc w:val="center"/>
              <w:rPr>
                <w:noProof/>
              </w:rPr>
            </w:pPr>
            <w:r>
              <w:rPr>
                <w:noProof/>
              </w:rPr>
              <w:t>-0.930**</w:t>
            </w:r>
          </w:p>
        </w:tc>
        <w:tc>
          <w:tcPr>
            <w:tcW w:w="1225" w:type="dxa"/>
          </w:tcPr>
          <w:p w14:paraId="16C89C90" w14:textId="5419F87A" w:rsidR="00974B96" w:rsidRPr="00974B96" w:rsidRDefault="00FA11BC" w:rsidP="00974B96">
            <w:pPr>
              <w:spacing w:after="0"/>
              <w:jc w:val="center"/>
              <w:rPr>
                <w:noProof/>
              </w:rPr>
            </w:pPr>
            <w:r>
              <w:rPr>
                <w:noProof/>
              </w:rPr>
              <w:t>-1.162**</w:t>
            </w:r>
          </w:p>
        </w:tc>
      </w:tr>
      <w:tr w:rsidR="00974B96" w14:paraId="14653006" w14:textId="77777777" w:rsidTr="007D02D5">
        <w:tc>
          <w:tcPr>
            <w:tcW w:w="1560" w:type="dxa"/>
          </w:tcPr>
          <w:p w14:paraId="6F5603DF" w14:textId="707BE1C6" w:rsidR="00974B96" w:rsidRPr="00974B96" w:rsidRDefault="00974B96" w:rsidP="00974B96">
            <w:pPr>
              <w:spacing w:after="0"/>
              <w:jc w:val="center"/>
              <w:rPr>
                <w:noProof/>
              </w:rPr>
            </w:pPr>
            <w:r w:rsidRPr="00974B96">
              <w:rPr>
                <w:noProof/>
              </w:rPr>
              <w:t>Fuel</w:t>
            </w:r>
          </w:p>
        </w:tc>
        <w:tc>
          <w:tcPr>
            <w:tcW w:w="1353" w:type="dxa"/>
          </w:tcPr>
          <w:p w14:paraId="51DF7B65" w14:textId="556A211F" w:rsidR="00974B96" w:rsidRPr="00974B96" w:rsidRDefault="00974B96" w:rsidP="00974B96">
            <w:pPr>
              <w:spacing w:after="0"/>
              <w:jc w:val="center"/>
              <w:rPr>
                <w:noProof/>
              </w:rPr>
            </w:pPr>
            <w:r>
              <w:rPr>
                <w:noProof/>
              </w:rPr>
              <w:t>3.314***</w:t>
            </w:r>
          </w:p>
        </w:tc>
        <w:tc>
          <w:tcPr>
            <w:tcW w:w="1225" w:type="dxa"/>
          </w:tcPr>
          <w:p w14:paraId="058DB56D" w14:textId="3D9BFEB2" w:rsidR="00974B96" w:rsidRPr="00974B96" w:rsidRDefault="00FA11BC" w:rsidP="00974B96">
            <w:pPr>
              <w:spacing w:after="0"/>
              <w:jc w:val="center"/>
              <w:rPr>
                <w:noProof/>
              </w:rPr>
            </w:pPr>
            <w:r>
              <w:rPr>
                <w:noProof/>
              </w:rPr>
              <w:t>3.578***</w:t>
            </w:r>
          </w:p>
        </w:tc>
        <w:tc>
          <w:tcPr>
            <w:tcW w:w="1225" w:type="dxa"/>
          </w:tcPr>
          <w:p w14:paraId="2875C102" w14:textId="40A362B5" w:rsidR="00974B96" w:rsidRPr="00974B96" w:rsidRDefault="00FA11BC" w:rsidP="00974B96">
            <w:pPr>
              <w:spacing w:after="0"/>
              <w:jc w:val="center"/>
              <w:rPr>
                <w:noProof/>
              </w:rPr>
            </w:pPr>
            <w:r>
              <w:rPr>
                <w:noProof/>
              </w:rPr>
              <w:t>4.176***</w:t>
            </w:r>
          </w:p>
        </w:tc>
        <w:tc>
          <w:tcPr>
            <w:tcW w:w="1225" w:type="dxa"/>
          </w:tcPr>
          <w:p w14:paraId="487A3C39" w14:textId="304A1CB7" w:rsidR="00974B96" w:rsidRPr="00974B96" w:rsidRDefault="00FA11BC" w:rsidP="00974B96">
            <w:pPr>
              <w:spacing w:after="0"/>
              <w:jc w:val="center"/>
              <w:rPr>
                <w:noProof/>
              </w:rPr>
            </w:pPr>
            <w:r>
              <w:rPr>
                <w:noProof/>
              </w:rPr>
              <w:t>7.754***</w:t>
            </w:r>
          </w:p>
        </w:tc>
      </w:tr>
      <w:tr w:rsidR="00974B96" w14:paraId="3A97AEBA" w14:textId="77777777" w:rsidTr="007D02D5">
        <w:tc>
          <w:tcPr>
            <w:tcW w:w="1560" w:type="dxa"/>
          </w:tcPr>
          <w:p w14:paraId="08F01D71" w14:textId="3FC8C0D2" w:rsidR="00974B96" w:rsidRPr="00974B96" w:rsidRDefault="00974B96" w:rsidP="00974B96">
            <w:pPr>
              <w:spacing w:after="0"/>
              <w:jc w:val="center"/>
              <w:rPr>
                <w:noProof/>
              </w:rPr>
            </w:pPr>
            <w:r w:rsidRPr="00974B96">
              <w:rPr>
                <w:noProof/>
              </w:rPr>
              <w:t>Labor</w:t>
            </w:r>
          </w:p>
        </w:tc>
        <w:tc>
          <w:tcPr>
            <w:tcW w:w="1353" w:type="dxa"/>
          </w:tcPr>
          <w:p w14:paraId="7EA6218F" w14:textId="7510F4B4" w:rsidR="00974B96" w:rsidRPr="00974B96" w:rsidRDefault="00974B96" w:rsidP="00974B96">
            <w:pPr>
              <w:spacing w:after="0"/>
              <w:jc w:val="center"/>
              <w:rPr>
                <w:noProof/>
              </w:rPr>
            </w:pPr>
            <w:r>
              <w:rPr>
                <w:noProof/>
              </w:rPr>
              <w:t>0.430**</w:t>
            </w:r>
          </w:p>
        </w:tc>
        <w:tc>
          <w:tcPr>
            <w:tcW w:w="1225" w:type="dxa"/>
          </w:tcPr>
          <w:p w14:paraId="46625CEA" w14:textId="4BF3966A" w:rsidR="00974B96" w:rsidRPr="00974B96" w:rsidRDefault="00FA11BC" w:rsidP="00974B96">
            <w:pPr>
              <w:spacing w:after="0"/>
              <w:jc w:val="center"/>
              <w:rPr>
                <w:noProof/>
              </w:rPr>
            </w:pPr>
            <w:r>
              <w:rPr>
                <w:noProof/>
              </w:rPr>
              <w:t>0.401***</w:t>
            </w:r>
          </w:p>
        </w:tc>
        <w:tc>
          <w:tcPr>
            <w:tcW w:w="1225" w:type="dxa"/>
          </w:tcPr>
          <w:p w14:paraId="4693617D" w14:textId="797D3BEF" w:rsidR="00974B96" w:rsidRPr="00974B96" w:rsidRDefault="00FA11BC" w:rsidP="00974B96">
            <w:pPr>
              <w:spacing w:after="0"/>
              <w:jc w:val="center"/>
              <w:rPr>
                <w:noProof/>
              </w:rPr>
            </w:pPr>
            <w:r>
              <w:rPr>
                <w:noProof/>
              </w:rPr>
              <w:t>-0.484***</w:t>
            </w:r>
          </w:p>
        </w:tc>
        <w:tc>
          <w:tcPr>
            <w:tcW w:w="1225" w:type="dxa"/>
          </w:tcPr>
          <w:p w14:paraId="1F0FC224" w14:textId="30191B6E" w:rsidR="00974B96" w:rsidRPr="00974B96" w:rsidRDefault="00FA11BC" w:rsidP="00974B96">
            <w:pPr>
              <w:spacing w:after="0"/>
              <w:jc w:val="center"/>
              <w:rPr>
                <w:noProof/>
              </w:rPr>
            </w:pPr>
            <w:r>
              <w:rPr>
                <w:noProof/>
              </w:rPr>
              <w:t>-0.082</w:t>
            </w:r>
          </w:p>
        </w:tc>
      </w:tr>
      <w:tr w:rsidR="00974B96" w14:paraId="1DF3F231" w14:textId="77777777" w:rsidTr="007D02D5">
        <w:tc>
          <w:tcPr>
            <w:tcW w:w="1560" w:type="dxa"/>
          </w:tcPr>
          <w:p w14:paraId="6816F2A1" w14:textId="3F37E174" w:rsidR="00974B96" w:rsidRPr="00974B96" w:rsidRDefault="00974B96" w:rsidP="00974B96">
            <w:pPr>
              <w:spacing w:after="0"/>
              <w:jc w:val="center"/>
              <w:rPr>
                <w:noProof/>
              </w:rPr>
            </w:pPr>
            <w:r w:rsidRPr="00974B96">
              <w:rPr>
                <w:noProof/>
              </w:rPr>
              <w:t>Land</w:t>
            </w:r>
          </w:p>
        </w:tc>
        <w:tc>
          <w:tcPr>
            <w:tcW w:w="1353" w:type="dxa"/>
          </w:tcPr>
          <w:p w14:paraId="5366FB41" w14:textId="277E9727" w:rsidR="00974B96" w:rsidRPr="00974B96" w:rsidRDefault="00974B96" w:rsidP="00974B96">
            <w:pPr>
              <w:spacing w:after="0"/>
              <w:jc w:val="center"/>
              <w:rPr>
                <w:noProof/>
              </w:rPr>
            </w:pPr>
            <w:r>
              <w:rPr>
                <w:noProof/>
              </w:rPr>
              <w:t>-0.438***</w:t>
            </w:r>
          </w:p>
        </w:tc>
        <w:tc>
          <w:tcPr>
            <w:tcW w:w="1225" w:type="dxa"/>
          </w:tcPr>
          <w:p w14:paraId="30C1D49D" w14:textId="6562DAFA" w:rsidR="00974B96" w:rsidRPr="00974B96" w:rsidRDefault="00FA11BC" w:rsidP="00974B96">
            <w:pPr>
              <w:spacing w:after="0"/>
              <w:jc w:val="center"/>
              <w:rPr>
                <w:noProof/>
              </w:rPr>
            </w:pPr>
            <w:r>
              <w:rPr>
                <w:noProof/>
              </w:rPr>
              <w:t>-0.943</w:t>
            </w:r>
          </w:p>
        </w:tc>
        <w:tc>
          <w:tcPr>
            <w:tcW w:w="1225" w:type="dxa"/>
          </w:tcPr>
          <w:p w14:paraId="1706695F" w14:textId="3A890CED" w:rsidR="00974B96" w:rsidRPr="00974B96" w:rsidRDefault="00FA11BC" w:rsidP="00974B96">
            <w:pPr>
              <w:spacing w:after="0"/>
              <w:jc w:val="center"/>
              <w:rPr>
                <w:noProof/>
              </w:rPr>
            </w:pPr>
            <w:r>
              <w:rPr>
                <w:noProof/>
              </w:rPr>
              <w:t>-7.825***</w:t>
            </w:r>
          </w:p>
        </w:tc>
        <w:tc>
          <w:tcPr>
            <w:tcW w:w="1225" w:type="dxa"/>
          </w:tcPr>
          <w:p w14:paraId="6C052F49" w14:textId="3B8DDFBE" w:rsidR="00974B96" w:rsidRPr="00974B96" w:rsidRDefault="00FA11BC" w:rsidP="00974B96">
            <w:pPr>
              <w:spacing w:after="0"/>
              <w:jc w:val="center"/>
              <w:rPr>
                <w:noProof/>
              </w:rPr>
            </w:pPr>
            <w:r>
              <w:rPr>
                <w:noProof/>
              </w:rPr>
              <w:t>-8.768***</w:t>
            </w:r>
          </w:p>
        </w:tc>
      </w:tr>
      <w:tr w:rsidR="00974B96" w14:paraId="7E395412" w14:textId="77777777" w:rsidTr="007D02D5">
        <w:tc>
          <w:tcPr>
            <w:tcW w:w="1560" w:type="dxa"/>
          </w:tcPr>
          <w:p w14:paraId="329F0038" w14:textId="37D7543F" w:rsidR="00974B96" w:rsidRPr="00974B96" w:rsidRDefault="00974B96" w:rsidP="00974B96">
            <w:pPr>
              <w:spacing w:after="0"/>
              <w:jc w:val="center"/>
              <w:rPr>
                <w:noProof/>
              </w:rPr>
            </w:pPr>
            <w:r w:rsidRPr="00974B96">
              <w:rPr>
                <w:noProof/>
              </w:rPr>
              <w:t>Machinery</w:t>
            </w:r>
          </w:p>
        </w:tc>
        <w:tc>
          <w:tcPr>
            <w:tcW w:w="1353" w:type="dxa"/>
          </w:tcPr>
          <w:p w14:paraId="18D82396" w14:textId="194E49CF" w:rsidR="00974B96" w:rsidRPr="00974B96" w:rsidRDefault="00974B96" w:rsidP="00974B96">
            <w:pPr>
              <w:spacing w:after="0"/>
              <w:jc w:val="center"/>
              <w:rPr>
                <w:noProof/>
              </w:rPr>
            </w:pPr>
            <w:r>
              <w:rPr>
                <w:noProof/>
              </w:rPr>
              <w:t>0.331</w:t>
            </w:r>
          </w:p>
        </w:tc>
        <w:tc>
          <w:tcPr>
            <w:tcW w:w="1225" w:type="dxa"/>
          </w:tcPr>
          <w:p w14:paraId="36D9F0A8" w14:textId="40AFFD82" w:rsidR="00974B96" w:rsidRPr="00974B96" w:rsidRDefault="00FA11BC" w:rsidP="00974B96">
            <w:pPr>
              <w:spacing w:after="0"/>
              <w:jc w:val="center"/>
              <w:rPr>
                <w:noProof/>
              </w:rPr>
            </w:pPr>
            <w:r>
              <w:rPr>
                <w:noProof/>
              </w:rPr>
              <w:t>0.341***</w:t>
            </w:r>
          </w:p>
        </w:tc>
        <w:tc>
          <w:tcPr>
            <w:tcW w:w="1225" w:type="dxa"/>
          </w:tcPr>
          <w:p w14:paraId="61F23B97" w14:textId="28BCC9C8" w:rsidR="00974B96" w:rsidRPr="00974B96" w:rsidRDefault="00FA11BC" w:rsidP="00974B96">
            <w:pPr>
              <w:spacing w:after="0"/>
              <w:jc w:val="center"/>
              <w:rPr>
                <w:noProof/>
              </w:rPr>
            </w:pPr>
            <w:r>
              <w:rPr>
                <w:noProof/>
              </w:rPr>
              <w:t>0.152*</w:t>
            </w:r>
          </w:p>
        </w:tc>
        <w:tc>
          <w:tcPr>
            <w:tcW w:w="1225" w:type="dxa"/>
          </w:tcPr>
          <w:p w14:paraId="24E4F28A" w14:textId="1A0DFFCF" w:rsidR="00974B96" w:rsidRPr="00974B96" w:rsidRDefault="00FA11BC" w:rsidP="00974B96">
            <w:pPr>
              <w:spacing w:after="0"/>
              <w:jc w:val="center"/>
              <w:rPr>
                <w:noProof/>
              </w:rPr>
            </w:pPr>
            <w:r>
              <w:rPr>
                <w:noProof/>
              </w:rPr>
              <w:t>0.493***</w:t>
            </w:r>
          </w:p>
        </w:tc>
      </w:tr>
      <w:tr w:rsidR="00974B96" w14:paraId="02FC2396" w14:textId="77777777" w:rsidTr="007D02D5">
        <w:tc>
          <w:tcPr>
            <w:tcW w:w="1560" w:type="dxa"/>
          </w:tcPr>
          <w:p w14:paraId="785B42BA" w14:textId="4BA77C17" w:rsidR="00974B96" w:rsidRPr="00974B96" w:rsidRDefault="00974B96" w:rsidP="00974B96">
            <w:pPr>
              <w:spacing w:after="0"/>
              <w:jc w:val="center"/>
              <w:rPr>
                <w:noProof/>
              </w:rPr>
            </w:pPr>
            <w:r w:rsidRPr="00974B96">
              <w:rPr>
                <w:noProof/>
              </w:rPr>
              <w:t>Tractors</w:t>
            </w:r>
          </w:p>
        </w:tc>
        <w:tc>
          <w:tcPr>
            <w:tcW w:w="1353" w:type="dxa"/>
          </w:tcPr>
          <w:p w14:paraId="601BD414" w14:textId="13CAEFAF" w:rsidR="00974B96" w:rsidRPr="00974B96" w:rsidRDefault="00974B96" w:rsidP="00974B96">
            <w:pPr>
              <w:spacing w:after="0"/>
              <w:jc w:val="center"/>
              <w:rPr>
                <w:noProof/>
              </w:rPr>
            </w:pPr>
            <w:r>
              <w:rPr>
                <w:noProof/>
              </w:rPr>
              <w:t>-0.0002</w:t>
            </w:r>
          </w:p>
        </w:tc>
        <w:tc>
          <w:tcPr>
            <w:tcW w:w="1225" w:type="dxa"/>
            <w:tcBorders>
              <w:bottom w:val="single" w:sz="4" w:space="0" w:color="auto"/>
            </w:tcBorders>
          </w:tcPr>
          <w:p w14:paraId="26A3DC82" w14:textId="36EE52B6" w:rsidR="00974B96" w:rsidRPr="00974B96" w:rsidRDefault="00FA11BC" w:rsidP="00974B96">
            <w:pPr>
              <w:spacing w:after="0"/>
              <w:jc w:val="center"/>
              <w:rPr>
                <w:noProof/>
              </w:rPr>
            </w:pPr>
            <w:r>
              <w:rPr>
                <w:noProof/>
              </w:rPr>
              <w:t>-0.0001</w:t>
            </w:r>
          </w:p>
        </w:tc>
        <w:tc>
          <w:tcPr>
            <w:tcW w:w="1225" w:type="dxa"/>
            <w:tcBorders>
              <w:bottom w:val="single" w:sz="4" w:space="0" w:color="auto"/>
            </w:tcBorders>
          </w:tcPr>
          <w:p w14:paraId="774F2783" w14:textId="1E09BA3E" w:rsidR="00974B96" w:rsidRPr="00974B96" w:rsidRDefault="00FA11BC" w:rsidP="00974B96">
            <w:pPr>
              <w:spacing w:after="0"/>
              <w:jc w:val="center"/>
              <w:rPr>
                <w:noProof/>
              </w:rPr>
            </w:pPr>
            <w:r>
              <w:rPr>
                <w:noProof/>
              </w:rPr>
              <w:t>-0.010**</w:t>
            </w:r>
          </w:p>
        </w:tc>
        <w:tc>
          <w:tcPr>
            <w:tcW w:w="1225" w:type="dxa"/>
            <w:tcBorders>
              <w:bottom w:val="single" w:sz="4" w:space="0" w:color="auto"/>
            </w:tcBorders>
          </w:tcPr>
          <w:p w14:paraId="32ABC6F3" w14:textId="1D8BF288" w:rsidR="00974B96" w:rsidRPr="00974B96" w:rsidRDefault="00FA11BC" w:rsidP="00974B96">
            <w:pPr>
              <w:spacing w:after="0"/>
              <w:jc w:val="center"/>
              <w:rPr>
                <w:noProof/>
              </w:rPr>
            </w:pPr>
            <w:r>
              <w:rPr>
                <w:noProof/>
              </w:rPr>
              <w:t>-0.012**</w:t>
            </w:r>
          </w:p>
        </w:tc>
      </w:tr>
      <w:tr w:rsidR="00974B96" w14:paraId="2A56F789" w14:textId="77777777" w:rsidTr="007D02D5">
        <w:tc>
          <w:tcPr>
            <w:tcW w:w="1560" w:type="dxa"/>
          </w:tcPr>
          <w:p w14:paraId="25047425" w14:textId="4054E1F1" w:rsidR="00974B96" w:rsidRPr="00974B96" w:rsidRDefault="00974B96" w:rsidP="00974B96">
            <w:pPr>
              <w:spacing w:after="0"/>
              <w:jc w:val="center"/>
              <w:rPr>
                <w:noProof/>
              </w:rPr>
            </w:pPr>
            <w:r w:rsidRPr="00974B96">
              <w:rPr>
                <w:noProof/>
              </w:rPr>
              <w:t>Trucks</w:t>
            </w:r>
          </w:p>
        </w:tc>
        <w:tc>
          <w:tcPr>
            <w:tcW w:w="1353" w:type="dxa"/>
            <w:tcBorders>
              <w:bottom w:val="single" w:sz="4" w:space="0" w:color="auto"/>
            </w:tcBorders>
          </w:tcPr>
          <w:p w14:paraId="36E86E15" w14:textId="775E7256" w:rsidR="00974B96" w:rsidRPr="00974B96" w:rsidRDefault="00974B96" w:rsidP="00974B96">
            <w:pPr>
              <w:spacing w:after="0"/>
              <w:jc w:val="center"/>
              <w:rPr>
                <w:noProof/>
              </w:rPr>
            </w:pPr>
            <w:r>
              <w:rPr>
                <w:noProof/>
              </w:rPr>
              <w:t>-0.012***</w:t>
            </w:r>
          </w:p>
        </w:tc>
        <w:tc>
          <w:tcPr>
            <w:tcW w:w="1225" w:type="dxa"/>
            <w:tcBorders>
              <w:bottom w:val="single" w:sz="4" w:space="0" w:color="auto"/>
            </w:tcBorders>
          </w:tcPr>
          <w:p w14:paraId="0DD3EFC7" w14:textId="3E546DE0" w:rsidR="00974B96" w:rsidRPr="00974B96" w:rsidRDefault="00FA11BC" w:rsidP="00974B96">
            <w:pPr>
              <w:spacing w:after="0"/>
              <w:jc w:val="center"/>
              <w:rPr>
                <w:noProof/>
              </w:rPr>
            </w:pPr>
            <w:r>
              <w:rPr>
                <w:noProof/>
              </w:rPr>
              <w:t>-0.012***</w:t>
            </w:r>
          </w:p>
        </w:tc>
        <w:tc>
          <w:tcPr>
            <w:tcW w:w="1225" w:type="dxa"/>
            <w:tcBorders>
              <w:bottom w:val="single" w:sz="4" w:space="0" w:color="auto"/>
            </w:tcBorders>
          </w:tcPr>
          <w:p w14:paraId="16A25819" w14:textId="11EEAB49" w:rsidR="00974B96" w:rsidRPr="00974B96" w:rsidRDefault="00FA11BC" w:rsidP="00974B96">
            <w:pPr>
              <w:spacing w:after="0"/>
              <w:jc w:val="center"/>
              <w:rPr>
                <w:noProof/>
              </w:rPr>
            </w:pPr>
            <w:r>
              <w:rPr>
                <w:noProof/>
              </w:rPr>
              <w:t>-0.002</w:t>
            </w:r>
          </w:p>
        </w:tc>
        <w:tc>
          <w:tcPr>
            <w:tcW w:w="1225" w:type="dxa"/>
            <w:tcBorders>
              <w:bottom w:val="single" w:sz="4" w:space="0" w:color="auto"/>
            </w:tcBorders>
          </w:tcPr>
          <w:p w14:paraId="6D1A7066" w14:textId="2956AA74" w:rsidR="00974B96" w:rsidRPr="00974B96" w:rsidRDefault="00FA11BC" w:rsidP="00974B96">
            <w:pPr>
              <w:spacing w:after="0"/>
              <w:jc w:val="center"/>
              <w:rPr>
                <w:noProof/>
              </w:rPr>
            </w:pPr>
            <w:r>
              <w:rPr>
                <w:noProof/>
              </w:rPr>
              <w:t>-0.014***</w:t>
            </w:r>
          </w:p>
        </w:tc>
      </w:tr>
      <w:tr w:rsidR="00FA11BC" w14:paraId="062E7FC0" w14:textId="77777777" w:rsidTr="007D02D5">
        <w:tc>
          <w:tcPr>
            <w:tcW w:w="1560" w:type="dxa"/>
          </w:tcPr>
          <w:p w14:paraId="0143BC24" w14:textId="5F210930" w:rsidR="00FA11BC" w:rsidRPr="00974B96" w:rsidRDefault="00FA11BC" w:rsidP="00974B96">
            <w:pPr>
              <w:spacing w:after="0"/>
              <w:jc w:val="center"/>
              <w:rPr>
                <w:noProof/>
              </w:rPr>
            </w:pPr>
            <w:r w:rsidRPr="00974B96">
              <w:rPr>
                <w:noProof/>
              </w:rPr>
              <w:t>W-Fertilizer</w:t>
            </w:r>
          </w:p>
        </w:tc>
        <w:tc>
          <w:tcPr>
            <w:tcW w:w="1353" w:type="dxa"/>
            <w:tcBorders>
              <w:right w:val="single" w:sz="4" w:space="0" w:color="auto"/>
            </w:tcBorders>
          </w:tcPr>
          <w:p w14:paraId="1E957497" w14:textId="0EA3158D" w:rsidR="00FA11BC" w:rsidRPr="00974B96" w:rsidRDefault="00FA11BC" w:rsidP="00974B96">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723569F3" w14:textId="77777777" w:rsidR="00FA11BC" w:rsidRPr="00974B96" w:rsidRDefault="00FA11BC" w:rsidP="00974B96">
            <w:pPr>
              <w:spacing w:after="0"/>
              <w:jc w:val="center"/>
              <w:rPr>
                <w:noProof/>
              </w:rPr>
            </w:pPr>
          </w:p>
        </w:tc>
      </w:tr>
      <w:tr w:rsidR="00FA11BC" w14:paraId="322875B6" w14:textId="77777777" w:rsidTr="007D02D5">
        <w:tc>
          <w:tcPr>
            <w:tcW w:w="1560" w:type="dxa"/>
          </w:tcPr>
          <w:p w14:paraId="7B3A9DB9" w14:textId="42EF2A72" w:rsidR="00FA11BC" w:rsidRPr="00974B96" w:rsidRDefault="00FA11BC" w:rsidP="00974B96">
            <w:pPr>
              <w:spacing w:after="0"/>
              <w:jc w:val="center"/>
              <w:rPr>
                <w:noProof/>
              </w:rPr>
            </w:pPr>
            <w:r w:rsidRPr="00974B96">
              <w:rPr>
                <w:noProof/>
              </w:rPr>
              <w:t>W-Fuel</w:t>
            </w:r>
          </w:p>
        </w:tc>
        <w:tc>
          <w:tcPr>
            <w:tcW w:w="1353" w:type="dxa"/>
            <w:tcBorders>
              <w:right w:val="single" w:sz="4" w:space="0" w:color="auto"/>
            </w:tcBorders>
          </w:tcPr>
          <w:p w14:paraId="12C1CDCD" w14:textId="2763C491" w:rsidR="00FA11BC" w:rsidRPr="00974B96" w:rsidRDefault="00FA11BC" w:rsidP="00974B96">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1FF9185D" w14:textId="77777777" w:rsidR="00FA11BC" w:rsidRPr="00974B96" w:rsidRDefault="00FA11BC" w:rsidP="00974B96">
            <w:pPr>
              <w:spacing w:after="0"/>
              <w:jc w:val="center"/>
              <w:rPr>
                <w:noProof/>
              </w:rPr>
            </w:pPr>
          </w:p>
        </w:tc>
      </w:tr>
      <w:tr w:rsidR="00FA11BC" w14:paraId="378CDAF4" w14:textId="77777777" w:rsidTr="007D02D5">
        <w:tc>
          <w:tcPr>
            <w:tcW w:w="1560" w:type="dxa"/>
          </w:tcPr>
          <w:p w14:paraId="4F9CC234" w14:textId="7744331D" w:rsidR="00FA11BC" w:rsidRPr="00974B96" w:rsidRDefault="00FA11BC" w:rsidP="00974B96">
            <w:pPr>
              <w:spacing w:after="0"/>
              <w:jc w:val="center"/>
              <w:rPr>
                <w:noProof/>
              </w:rPr>
            </w:pPr>
            <w:r w:rsidRPr="00974B96">
              <w:rPr>
                <w:noProof/>
              </w:rPr>
              <w:t>W-Labor</w:t>
            </w:r>
          </w:p>
        </w:tc>
        <w:tc>
          <w:tcPr>
            <w:tcW w:w="1353" w:type="dxa"/>
            <w:tcBorders>
              <w:right w:val="single" w:sz="4" w:space="0" w:color="auto"/>
            </w:tcBorders>
          </w:tcPr>
          <w:p w14:paraId="4BD318F6" w14:textId="616173F8" w:rsidR="00FA11BC" w:rsidRPr="00974B96" w:rsidRDefault="00FA11BC" w:rsidP="00974B96">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5B7BCDA3" w14:textId="77777777" w:rsidR="00FA11BC" w:rsidRPr="00974B96" w:rsidRDefault="00FA11BC" w:rsidP="00974B96">
            <w:pPr>
              <w:spacing w:after="0"/>
              <w:jc w:val="center"/>
              <w:rPr>
                <w:noProof/>
              </w:rPr>
            </w:pPr>
          </w:p>
        </w:tc>
      </w:tr>
      <w:tr w:rsidR="00FA11BC" w14:paraId="7EFB58C8" w14:textId="77777777" w:rsidTr="007D02D5">
        <w:tc>
          <w:tcPr>
            <w:tcW w:w="1560" w:type="dxa"/>
          </w:tcPr>
          <w:p w14:paraId="7E0260CD" w14:textId="56F7E9A0" w:rsidR="00FA11BC" w:rsidRPr="00974B96" w:rsidRDefault="00FA11BC" w:rsidP="00974B96">
            <w:pPr>
              <w:spacing w:after="0"/>
              <w:jc w:val="center"/>
              <w:rPr>
                <w:noProof/>
              </w:rPr>
            </w:pPr>
            <w:r w:rsidRPr="00974B96">
              <w:rPr>
                <w:noProof/>
              </w:rPr>
              <w:t>W-Land</w:t>
            </w:r>
          </w:p>
        </w:tc>
        <w:tc>
          <w:tcPr>
            <w:tcW w:w="1353" w:type="dxa"/>
            <w:tcBorders>
              <w:right w:val="single" w:sz="4" w:space="0" w:color="auto"/>
            </w:tcBorders>
          </w:tcPr>
          <w:p w14:paraId="3C4893BB" w14:textId="280C2E36" w:rsidR="00FA11BC" w:rsidRPr="00974B96" w:rsidRDefault="00FA11BC" w:rsidP="00974B96">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42101B7D" w14:textId="77777777" w:rsidR="00FA11BC" w:rsidRPr="00974B96" w:rsidRDefault="00FA11BC" w:rsidP="00974B96">
            <w:pPr>
              <w:spacing w:after="0"/>
              <w:jc w:val="center"/>
              <w:rPr>
                <w:noProof/>
              </w:rPr>
            </w:pPr>
          </w:p>
        </w:tc>
      </w:tr>
      <w:tr w:rsidR="00FA11BC" w14:paraId="23F2C347" w14:textId="77777777" w:rsidTr="007D02D5">
        <w:tc>
          <w:tcPr>
            <w:tcW w:w="1560" w:type="dxa"/>
          </w:tcPr>
          <w:p w14:paraId="604DD23B" w14:textId="6A3A75F4" w:rsidR="00FA11BC" w:rsidRPr="00974B96" w:rsidRDefault="00FA11BC" w:rsidP="00974B96">
            <w:pPr>
              <w:spacing w:after="0"/>
              <w:jc w:val="center"/>
              <w:rPr>
                <w:noProof/>
              </w:rPr>
            </w:pPr>
            <w:r w:rsidRPr="00974B96">
              <w:rPr>
                <w:noProof/>
              </w:rPr>
              <w:t>W-Machinery</w:t>
            </w:r>
          </w:p>
        </w:tc>
        <w:tc>
          <w:tcPr>
            <w:tcW w:w="1353" w:type="dxa"/>
            <w:tcBorders>
              <w:right w:val="single" w:sz="4" w:space="0" w:color="auto"/>
            </w:tcBorders>
          </w:tcPr>
          <w:p w14:paraId="24871054" w14:textId="2DB34E18" w:rsidR="00FA11BC" w:rsidRPr="00974B96" w:rsidRDefault="00FA11BC" w:rsidP="00974B96">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294DD19" w14:textId="77777777" w:rsidR="00FA11BC" w:rsidRPr="00974B96" w:rsidRDefault="00FA11BC" w:rsidP="00974B96">
            <w:pPr>
              <w:spacing w:after="0"/>
              <w:jc w:val="center"/>
              <w:rPr>
                <w:noProof/>
              </w:rPr>
            </w:pPr>
          </w:p>
        </w:tc>
      </w:tr>
      <w:tr w:rsidR="00FA11BC" w14:paraId="4AEC49A6" w14:textId="77777777" w:rsidTr="007D02D5">
        <w:tc>
          <w:tcPr>
            <w:tcW w:w="1560" w:type="dxa"/>
          </w:tcPr>
          <w:p w14:paraId="44721F67" w14:textId="384358F3" w:rsidR="00FA11BC" w:rsidRPr="00974B96" w:rsidRDefault="00FA11BC" w:rsidP="00974B96">
            <w:pPr>
              <w:spacing w:after="0"/>
              <w:jc w:val="center"/>
              <w:rPr>
                <w:noProof/>
              </w:rPr>
            </w:pPr>
            <w:r w:rsidRPr="00974B96">
              <w:rPr>
                <w:noProof/>
              </w:rPr>
              <w:t>W-Tractors</w:t>
            </w:r>
          </w:p>
        </w:tc>
        <w:tc>
          <w:tcPr>
            <w:tcW w:w="1353" w:type="dxa"/>
            <w:tcBorders>
              <w:right w:val="single" w:sz="4" w:space="0" w:color="auto"/>
            </w:tcBorders>
          </w:tcPr>
          <w:p w14:paraId="692B807E" w14:textId="3E3AEB61" w:rsidR="00FA11BC" w:rsidRPr="00974B96" w:rsidRDefault="00FA11BC" w:rsidP="00974B96">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1633590F" w14:textId="77777777" w:rsidR="00FA11BC" w:rsidRPr="00974B96" w:rsidRDefault="00FA11BC" w:rsidP="00974B96">
            <w:pPr>
              <w:spacing w:after="0"/>
              <w:jc w:val="center"/>
              <w:rPr>
                <w:noProof/>
              </w:rPr>
            </w:pPr>
          </w:p>
        </w:tc>
      </w:tr>
      <w:tr w:rsidR="00FA11BC" w14:paraId="508EB7FD" w14:textId="77777777" w:rsidTr="007D02D5">
        <w:tc>
          <w:tcPr>
            <w:tcW w:w="1560" w:type="dxa"/>
          </w:tcPr>
          <w:p w14:paraId="1BC63C9D" w14:textId="52D5DB13" w:rsidR="00FA11BC" w:rsidRPr="00974B96" w:rsidRDefault="00FA11BC" w:rsidP="00974B96">
            <w:pPr>
              <w:spacing w:after="0"/>
              <w:jc w:val="center"/>
              <w:rPr>
                <w:noProof/>
              </w:rPr>
            </w:pPr>
            <w:r w:rsidRPr="00974B96">
              <w:rPr>
                <w:noProof/>
              </w:rPr>
              <w:t>W-Trucks</w:t>
            </w:r>
          </w:p>
        </w:tc>
        <w:tc>
          <w:tcPr>
            <w:tcW w:w="1353" w:type="dxa"/>
            <w:tcBorders>
              <w:right w:val="single" w:sz="4" w:space="0" w:color="auto"/>
            </w:tcBorders>
          </w:tcPr>
          <w:p w14:paraId="1F10266F" w14:textId="5B62650B" w:rsidR="00FA11BC" w:rsidRPr="00974B96" w:rsidRDefault="00FA11BC" w:rsidP="00974B96">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758A2A89" w14:textId="77777777" w:rsidR="00FA11BC" w:rsidRPr="00974B96" w:rsidRDefault="00FA11BC" w:rsidP="00974B96">
            <w:pPr>
              <w:spacing w:after="0"/>
              <w:jc w:val="center"/>
              <w:rPr>
                <w:noProof/>
              </w:rPr>
            </w:pPr>
          </w:p>
        </w:tc>
      </w:tr>
      <w:tr w:rsidR="00FA11BC" w14:paraId="76E78EB8" w14:textId="77777777" w:rsidTr="007D02D5">
        <w:tc>
          <w:tcPr>
            <w:tcW w:w="1560" w:type="dxa"/>
          </w:tcPr>
          <w:p w14:paraId="4D2E2F66" w14:textId="6683DFB3" w:rsidR="00FA11BC" w:rsidRPr="00974B96" w:rsidRDefault="00FA11BC" w:rsidP="00974B96">
            <w:pPr>
              <w:spacing w:after="0"/>
              <w:jc w:val="center"/>
              <w:rPr>
                <w:noProof/>
              </w:rPr>
            </w:pPr>
            <w:r w:rsidRPr="00974B96">
              <w:rPr>
                <w:noProof/>
              </w:rPr>
              <w:t>Rho</w:t>
            </w:r>
          </w:p>
        </w:tc>
        <w:tc>
          <w:tcPr>
            <w:tcW w:w="1353" w:type="dxa"/>
            <w:tcBorders>
              <w:right w:val="single" w:sz="4" w:space="0" w:color="auto"/>
            </w:tcBorders>
          </w:tcPr>
          <w:p w14:paraId="7FDD3896" w14:textId="266BD52F" w:rsidR="00FA11BC" w:rsidRPr="00974B96" w:rsidRDefault="00FA11BC" w:rsidP="00974B96">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461A381D" w14:textId="77777777" w:rsidR="00FA11BC" w:rsidRPr="00974B96" w:rsidRDefault="00FA11BC" w:rsidP="00974B96">
            <w:pPr>
              <w:spacing w:after="0"/>
              <w:jc w:val="center"/>
              <w:rPr>
                <w:noProof/>
              </w:rPr>
            </w:pPr>
          </w:p>
        </w:tc>
      </w:tr>
    </w:tbl>
    <w:p w14:paraId="59A6CE3B" w14:textId="77777777" w:rsidR="0036566A" w:rsidRDefault="0036566A" w:rsidP="0076410F">
      <w:pPr>
        <w:rPr>
          <w:rFonts w:eastAsiaTheme="minorEastAsia"/>
        </w:rPr>
      </w:pPr>
    </w:p>
    <w:p w14:paraId="1D30F632" w14:textId="2D2A2647" w:rsidR="004502BD" w:rsidRDefault="00BA03A9" w:rsidP="0076410F">
      <w:pPr>
        <w:rPr>
          <w:rFonts w:eastAsiaTheme="minorEastAsia"/>
        </w:rPr>
      </w:pPr>
      <w:r>
        <w:rPr>
          <w:rFonts w:eastAsiaTheme="minorEastAsia"/>
        </w:rPr>
        <w:t xml:space="preserve">Solow residuals are mapped for each mainland county in the U.S. in the figure below. Recall that Solow </w:t>
      </w:r>
      <w:proofErr w:type="spellStart"/>
      <w:r>
        <w:rPr>
          <w:rFonts w:eastAsiaTheme="minorEastAsia"/>
        </w:rPr>
        <w:t>residudals</w:t>
      </w:r>
      <w:proofErr w:type="spellEnd"/>
      <w:r>
        <w:rPr>
          <w:rFonts w:eastAsiaTheme="minorEastAsia"/>
        </w:rPr>
        <w:t xml:space="preserve">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w:t>
      </w:r>
      <w:r w:rsidR="004502BD">
        <w:rPr>
          <w:rFonts w:eastAsiaTheme="minorEastAsia"/>
        </w:rPr>
        <w:t xml:space="preserve">Given a </w:t>
      </w:r>
      <w:proofErr w:type="spellStart"/>
      <w:r w:rsidR="004502BD">
        <w:rPr>
          <w:rFonts w:eastAsiaTheme="minorEastAsia"/>
        </w:rPr>
        <w:t>solow</w:t>
      </w:r>
      <w:proofErr w:type="spellEnd"/>
      <w:r w:rsidR="004502BD">
        <w:rPr>
          <w:rFonts w:eastAsiaTheme="minorEastAsia"/>
        </w:rPr>
        <w:t xml:space="preserve"> residual defined as: </w:t>
      </w:r>
    </w:p>
    <w:p w14:paraId="450B4F87" w14:textId="15B77D6E" w:rsidR="004502BD" w:rsidRPr="004502BD" w:rsidRDefault="004502BD" w:rsidP="0076410F">
      <w:pPr>
        <w:rPr>
          <w:rFonts w:eastAsiaTheme="minorEastAsia"/>
        </w:rPr>
      </w:pPr>
      <m:oMathPara>
        <m:oMath>
          <m:r>
            <w:rPr>
              <w:rFonts w:ascii="Cambria Math" w:eastAsiaTheme="minorEastAsia" w:hAnsi="Cambria Math"/>
            </w:rPr>
            <m:t>S=y-</m:t>
          </m:r>
          <m:acc>
            <m:accPr>
              <m:ctrlPr>
                <w:rPr>
                  <w:rFonts w:ascii="Cambria Math" w:eastAsiaTheme="minorEastAsia" w:hAnsi="Cambria Math"/>
                  <w:i/>
                </w:rPr>
              </m:ctrlPr>
            </m:accPr>
            <m:e>
              <m:r>
                <w:rPr>
                  <w:rFonts w:ascii="Cambria Math" w:eastAsiaTheme="minorEastAsia" w:hAnsi="Cambria Math"/>
                </w:rPr>
                <m:t>y</m:t>
              </m:r>
            </m:e>
          </m:acc>
        </m:oMath>
      </m:oMathPara>
    </w:p>
    <w:p w14:paraId="1413C2EE" w14:textId="1F0F3C55" w:rsidR="004502BD" w:rsidRDefault="004502BD" w:rsidP="0076410F">
      <w:pPr>
        <w:rPr>
          <w:rFonts w:eastAsiaTheme="minorEastAsia"/>
        </w:rPr>
      </w:pPr>
      <w:r>
        <w:rPr>
          <w:rFonts w:eastAsiaTheme="minorEastAsia"/>
        </w:rPr>
        <w:t xml:space="preserve">If </w:t>
      </w:r>
      <m:oMath>
        <m:r>
          <w:rPr>
            <w:rFonts w:ascii="Cambria Math" w:eastAsiaTheme="minorEastAsia" w:hAnsi="Cambria Math"/>
          </w:rPr>
          <m:t>S&lt;0</m:t>
        </m:r>
      </m:oMath>
      <w:r>
        <w:rPr>
          <w:rFonts w:eastAsiaTheme="minorEastAsia"/>
        </w:rPr>
        <w:t xml:space="preserve">, this means </w:t>
      </w:r>
      <m:oMath>
        <m:r>
          <w:rPr>
            <w:rFonts w:ascii="Cambria Math" w:eastAsiaTheme="minorEastAsia" w:hAnsi="Cambria Math"/>
          </w:rPr>
          <m:t>y&lt;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or that the derived production function </w:t>
      </w:r>
      <m:oMath>
        <m:r>
          <w:rPr>
            <w:rFonts w:ascii="Cambria Math" w:eastAsiaTheme="minorEastAsia" w:hAnsi="Cambria Math"/>
          </w:rPr>
          <m:t>y(X)</m:t>
        </m:r>
      </m:oMath>
      <w:r>
        <w:rPr>
          <w:rFonts w:eastAsiaTheme="minorEastAsia"/>
        </w:rPr>
        <w:t xml:space="preserve"> expects that higher production would occur in county </w:t>
      </w:r>
      <m:oMath>
        <m:r>
          <w:rPr>
            <w:rFonts w:ascii="Cambria Math" w:eastAsiaTheme="minorEastAsia" w:hAnsi="Cambria Math"/>
          </w:rPr>
          <m:t>i</m:t>
        </m:r>
      </m:oMath>
      <w:r>
        <w:rPr>
          <w:rFonts w:eastAsiaTheme="minorEastAsia"/>
        </w:rPr>
        <w:t xml:space="preserve"> based on the input factors of production </w:t>
      </w:r>
      <m:oMath>
        <m:r>
          <w:rPr>
            <w:rFonts w:ascii="Cambria Math" w:eastAsiaTheme="minorEastAsia" w:hAnsi="Cambria Math"/>
          </w:rPr>
          <m:t>X</m:t>
        </m:r>
      </m:oMath>
      <w:r>
        <w:rPr>
          <w:rFonts w:eastAsiaTheme="minorEastAsia"/>
        </w:rPr>
        <w:t xml:space="preserve">. For reasons attributed to spatial heterogeneity, the county is under-producing compared to what might be expected given input consumption. On the other hand, if </w:t>
      </w:r>
      <m:oMath>
        <m:r>
          <w:rPr>
            <w:rFonts w:ascii="Cambria Math" w:eastAsiaTheme="minorEastAsia" w:hAnsi="Cambria Math"/>
          </w:rPr>
          <m:t>S&gt;0→y&gt;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actual production </w:t>
      </w:r>
      <m:oMath>
        <m:r>
          <w:rPr>
            <w:rFonts w:ascii="Cambria Math" w:eastAsiaTheme="minorEastAsia" w:hAnsi="Cambria Math"/>
          </w:rPr>
          <m:t>y</m:t>
        </m:r>
      </m:oMath>
      <w:r>
        <w:rPr>
          <w:rFonts w:eastAsiaTheme="minorEastAsia"/>
        </w:rPr>
        <w:t xml:space="preserve"> exceeds the expectations of the production function given the input factors of production </w:t>
      </w:r>
      <m:oMath>
        <m:r>
          <w:rPr>
            <w:rFonts w:ascii="Cambria Math" w:eastAsiaTheme="minorEastAsia" w:hAnsi="Cambria Math"/>
          </w:rPr>
          <m:t>X</m:t>
        </m:r>
      </m:oMath>
      <w:r>
        <w:rPr>
          <w:rFonts w:eastAsiaTheme="minorEastAsia"/>
        </w:rPr>
        <w:t xml:space="preserve">. This means that areas with </w:t>
      </w:r>
      <m:oMath>
        <m:r>
          <w:rPr>
            <w:rFonts w:ascii="Cambria Math" w:eastAsiaTheme="minorEastAsia" w:hAnsi="Cambria Math"/>
          </w:rPr>
          <m:t>S&gt;0</m:t>
        </m:r>
      </m:oMath>
      <w:r>
        <w:rPr>
          <w:rFonts w:eastAsiaTheme="minorEastAsia"/>
        </w:rPr>
        <w:t xml:space="preserve"> experience higher agricultural productivity that we attribute to spatial heterogeneity. </w:t>
      </w:r>
    </w:p>
    <w:p w14:paraId="26FF65DD" w14:textId="05A48876" w:rsidR="00BA70E7" w:rsidRDefault="00BA03A9" w:rsidP="0076410F">
      <w:pPr>
        <w:rPr>
          <w:rFonts w:eastAsiaTheme="minorEastAsia"/>
        </w:rPr>
      </w:pPr>
      <w:r>
        <w:rPr>
          <w:rFonts w:eastAsiaTheme="minorEastAsia"/>
        </w:rPr>
        <w:t xml:space="preserve">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lastRenderedPageBreak/>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659E1E0A" w:rsidR="00A3673D" w:rsidRDefault="00BB7DF3" w:rsidP="0076410F">
      <w:pPr>
        <w:rPr>
          <w:rFonts w:eastAsiaTheme="minorEastAsia"/>
        </w:rPr>
      </w:pPr>
      <w:r>
        <w:rPr>
          <w:noProof/>
        </w:rPr>
        <w:drawing>
          <wp:inline distT="0" distB="0" distL="0" distR="0" wp14:anchorId="43F9C15C" wp14:editId="330F1B7B">
            <wp:extent cx="5943600" cy="2606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through the use of a Solow residual. </w:t>
      </w:r>
      <w:r w:rsidR="00E74CCC">
        <w:t xml:space="preserve">Spillover effects from one region’s input use on the net income of a neighboring region are not significant, confirming the results of a similar study by Yu et al. (2014). The presence of a spatial lag is significant with regard to net income. The meaning of this finding is not well-defined, as it’s possible that counties are similar to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107412A1" w14:textId="12A65315" w:rsidR="004A78D8" w:rsidRPr="006C5C76" w:rsidRDefault="004A78D8" w:rsidP="006C5C76">
      <w:pPr>
        <w:rPr>
          <w:rFonts w:eastAsiaTheme="majorEastAsia"/>
        </w:rPr>
      </w:pPr>
      <w:r>
        <w:t xml:space="preserve">The </w:t>
      </w:r>
      <w:proofErr w:type="spellStart"/>
      <w:r>
        <w:t>Elhorst</w:t>
      </w:r>
      <w:proofErr w:type="spellEnd"/>
      <w:r>
        <w:t xml:space="preserve">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sidRPr="006C5C76">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 xml:space="preserve">Estimate model via OLS and use the various LM tests to determine the proper model (use the </w:t>
      </w:r>
      <w:proofErr w:type="spellStart"/>
      <w:r>
        <w:rPr>
          <w:rFonts w:eastAsiaTheme="minorEastAsia"/>
        </w:rPr>
        <w:t>Florax</w:t>
      </w:r>
      <w:proofErr w:type="spellEnd"/>
      <w:r>
        <w:rPr>
          <w:rFonts w:eastAsiaTheme="minorEastAsia"/>
        </w:rPr>
        <w:t xml:space="preserve">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If H0(a) can’t be rejected, use SAR as long as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If H0(b) can’t be rejected, use SEM as long as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07814BBD" w14:textId="1CFFDF15" w:rsidR="001E35EF" w:rsidRDefault="001E35EF" w:rsidP="003B6473">
      <w:pPr>
        <w:rPr>
          <w:shd w:val="clear" w:color="auto" w:fill="FFFFFF"/>
        </w:rPr>
      </w:pPr>
      <w:r>
        <w:rPr>
          <w:shd w:val="clear" w:color="auto" w:fill="FFFFFF"/>
        </w:rPr>
        <w:t xml:space="preserve">Alston, J., James, J., Andersen, M. and </w:t>
      </w:r>
      <w:proofErr w:type="spellStart"/>
      <w:r>
        <w:rPr>
          <w:shd w:val="clear" w:color="auto" w:fill="FFFFFF"/>
        </w:rPr>
        <w:t>Pardey</w:t>
      </w:r>
      <w:proofErr w:type="spellEnd"/>
      <w:r>
        <w:rPr>
          <w:shd w:val="clear" w:color="auto" w:fill="FFFFFF"/>
        </w:rPr>
        <w:t xml:space="preserve">,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xml:space="preserve">,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proofErr w:type="spellStart"/>
      <w:r>
        <w:t>Anselin</w:t>
      </w:r>
      <w:proofErr w:type="spellEnd"/>
      <w:r>
        <w:t xml:space="preserve">, L. 1998. </w:t>
      </w:r>
      <w:r>
        <w:rPr>
          <w:i/>
          <w:iCs/>
        </w:rPr>
        <w:t xml:space="preserve">Spatial Econometrics: Methods </w:t>
      </w:r>
    </w:p>
    <w:p w14:paraId="5E1F9710" w14:textId="77777777"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xml:space="preserve">,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a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520F322A" w14:textId="513F3E4F" w:rsidR="00DE3860" w:rsidRDefault="00DE3860" w:rsidP="003B6473">
      <w:proofErr w:type="spellStart"/>
      <w:r>
        <w:t>Dettori</w:t>
      </w:r>
      <w:proofErr w:type="spellEnd"/>
      <w:r>
        <w:t xml:space="preserve">, B., </w:t>
      </w:r>
      <w:proofErr w:type="spellStart"/>
      <w:r>
        <w:t>Marrocu</w:t>
      </w:r>
      <w:proofErr w:type="spellEnd"/>
      <w:r>
        <w:t xml:space="preserve">, E. and </w:t>
      </w:r>
      <w:proofErr w:type="spellStart"/>
      <w:r>
        <w:t>Paci</w:t>
      </w:r>
      <w:proofErr w:type="spellEnd"/>
      <w:r>
        <w:t xml:space="preserve">,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proofErr w:type="spellStart"/>
      <w:r>
        <w:lastRenderedPageBreak/>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the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71D16933" w14:textId="0268E115" w:rsidR="00B370F2" w:rsidRDefault="00B370F2" w:rsidP="003B6473">
      <w:r>
        <w:t xml:space="preserve">Pederson, C. and </w:t>
      </w:r>
      <w:proofErr w:type="spellStart"/>
      <w:r>
        <w:t>Krogli</w:t>
      </w:r>
      <w:proofErr w:type="spellEnd"/>
      <w:r>
        <w:t xml:space="preserve">,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lastRenderedPageBreak/>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C0F4" w14:textId="77777777" w:rsidR="00D06A07" w:rsidRDefault="00D06A07" w:rsidP="00240F2A">
      <w:pPr>
        <w:spacing w:after="0"/>
      </w:pPr>
      <w:r>
        <w:separator/>
      </w:r>
    </w:p>
  </w:endnote>
  <w:endnote w:type="continuationSeparator" w:id="0">
    <w:p w14:paraId="7450DC7A" w14:textId="77777777" w:rsidR="00D06A07" w:rsidRDefault="00D06A07"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D33E" w14:textId="77777777" w:rsidR="00D06A07" w:rsidRDefault="00D06A07" w:rsidP="00240F2A">
      <w:pPr>
        <w:spacing w:after="0"/>
      </w:pPr>
      <w:r>
        <w:separator/>
      </w:r>
    </w:p>
  </w:footnote>
  <w:footnote w:type="continuationSeparator" w:id="0">
    <w:p w14:paraId="061814C0" w14:textId="77777777" w:rsidR="00D06A07" w:rsidRDefault="00D06A07"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462E"/>
    <w:rsid w:val="000D673D"/>
    <w:rsid w:val="000E1884"/>
    <w:rsid w:val="000F7DD5"/>
    <w:rsid w:val="00111679"/>
    <w:rsid w:val="001308FF"/>
    <w:rsid w:val="00140EF3"/>
    <w:rsid w:val="00143E76"/>
    <w:rsid w:val="00143EB0"/>
    <w:rsid w:val="00161580"/>
    <w:rsid w:val="00165086"/>
    <w:rsid w:val="001B68D9"/>
    <w:rsid w:val="001B6E55"/>
    <w:rsid w:val="001D2DF7"/>
    <w:rsid w:val="001E35EF"/>
    <w:rsid w:val="001E634C"/>
    <w:rsid w:val="00230F9E"/>
    <w:rsid w:val="002378F3"/>
    <w:rsid w:val="00240F2A"/>
    <w:rsid w:val="002503C7"/>
    <w:rsid w:val="00254799"/>
    <w:rsid w:val="00283968"/>
    <w:rsid w:val="002A168F"/>
    <w:rsid w:val="00315134"/>
    <w:rsid w:val="00324C9C"/>
    <w:rsid w:val="003251E5"/>
    <w:rsid w:val="0033246F"/>
    <w:rsid w:val="00334900"/>
    <w:rsid w:val="00357048"/>
    <w:rsid w:val="0036566A"/>
    <w:rsid w:val="003B6473"/>
    <w:rsid w:val="003C3B34"/>
    <w:rsid w:val="003E26B8"/>
    <w:rsid w:val="003F66C5"/>
    <w:rsid w:val="004144B0"/>
    <w:rsid w:val="0041456E"/>
    <w:rsid w:val="0042345D"/>
    <w:rsid w:val="004502BD"/>
    <w:rsid w:val="004538A0"/>
    <w:rsid w:val="00457EA3"/>
    <w:rsid w:val="0046261D"/>
    <w:rsid w:val="00472459"/>
    <w:rsid w:val="00477100"/>
    <w:rsid w:val="004A78D8"/>
    <w:rsid w:val="004B0447"/>
    <w:rsid w:val="004C3DA2"/>
    <w:rsid w:val="004C50B3"/>
    <w:rsid w:val="004E38BE"/>
    <w:rsid w:val="00516FAD"/>
    <w:rsid w:val="00524F28"/>
    <w:rsid w:val="00555E15"/>
    <w:rsid w:val="005A7D0D"/>
    <w:rsid w:val="005D6F91"/>
    <w:rsid w:val="005F50A9"/>
    <w:rsid w:val="0060053B"/>
    <w:rsid w:val="0060357E"/>
    <w:rsid w:val="0062222E"/>
    <w:rsid w:val="00681412"/>
    <w:rsid w:val="006C19B3"/>
    <w:rsid w:val="006C5C76"/>
    <w:rsid w:val="00740DE2"/>
    <w:rsid w:val="0076410F"/>
    <w:rsid w:val="00774079"/>
    <w:rsid w:val="00790426"/>
    <w:rsid w:val="00794F3E"/>
    <w:rsid w:val="007A06CE"/>
    <w:rsid w:val="007A3AD9"/>
    <w:rsid w:val="007A7D41"/>
    <w:rsid w:val="007D02D5"/>
    <w:rsid w:val="007E0B9A"/>
    <w:rsid w:val="00804C06"/>
    <w:rsid w:val="008239DC"/>
    <w:rsid w:val="00842CD5"/>
    <w:rsid w:val="008C08BE"/>
    <w:rsid w:val="008F749D"/>
    <w:rsid w:val="00907E24"/>
    <w:rsid w:val="009166BE"/>
    <w:rsid w:val="00974B96"/>
    <w:rsid w:val="009C1BB1"/>
    <w:rsid w:val="009F41E4"/>
    <w:rsid w:val="00A13A9F"/>
    <w:rsid w:val="00A23E64"/>
    <w:rsid w:val="00A334F7"/>
    <w:rsid w:val="00A3673D"/>
    <w:rsid w:val="00A532A6"/>
    <w:rsid w:val="00A90019"/>
    <w:rsid w:val="00A92479"/>
    <w:rsid w:val="00AA7663"/>
    <w:rsid w:val="00AB3517"/>
    <w:rsid w:val="00AE3C6D"/>
    <w:rsid w:val="00AE3D07"/>
    <w:rsid w:val="00AE690A"/>
    <w:rsid w:val="00B370F2"/>
    <w:rsid w:val="00B4592D"/>
    <w:rsid w:val="00B711AE"/>
    <w:rsid w:val="00B81E1D"/>
    <w:rsid w:val="00BA03A9"/>
    <w:rsid w:val="00BA70E7"/>
    <w:rsid w:val="00BB0955"/>
    <w:rsid w:val="00BB672C"/>
    <w:rsid w:val="00BB7DF3"/>
    <w:rsid w:val="00BC7724"/>
    <w:rsid w:val="00BF18E2"/>
    <w:rsid w:val="00C01CCF"/>
    <w:rsid w:val="00C071F0"/>
    <w:rsid w:val="00C16651"/>
    <w:rsid w:val="00C351FE"/>
    <w:rsid w:val="00C41EBD"/>
    <w:rsid w:val="00C4691F"/>
    <w:rsid w:val="00C60D70"/>
    <w:rsid w:val="00C631D0"/>
    <w:rsid w:val="00CB06C5"/>
    <w:rsid w:val="00CB6C49"/>
    <w:rsid w:val="00CC28BF"/>
    <w:rsid w:val="00CC6E1C"/>
    <w:rsid w:val="00D06A07"/>
    <w:rsid w:val="00D17217"/>
    <w:rsid w:val="00D926C1"/>
    <w:rsid w:val="00D93CA8"/>
    <w:rsid w:val="00DC1894"/>
    <w:rsid w:val="00DD2344"/>
    <w:rsid w:val="00DE3860"/>
    <w:rsid w:val="00E2236E"/>
    <w:rsid w:val="00E6490B"/>
    <w:rsid w:val="00E74CCC"/>
    <w:rsid w:val="00E83E9D"/>
    <w:rsid w:val="00E9040D"/>
    <w:rsid w:val="00EC0D47"/>
    <w:rsid w:val="00ED2413"/>
    <w:rsid w:val="00EE4F5B"/>
    <w:rsid w:val="00F735A6"/>
    <w:rsid w:val="00FA077C"/>
    <w:rsid w:val="00FA11B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ultz@live.com" TargetMode="External"/><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onald.lacombe@ttu.edu" TargetMode="External"/><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14</Pages>
  <Words>6131</Words>
  <Characters>34950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80</cp:revision>
  <dcterms:created xsi:type="dcterms:W3CDTF">2022-01-29T15:48:00Z</dcterms:created>
  <dcterms:modified xsi:type="dcterms:W3CDTF">2022-02-06T20:54:00Z</dcterms:modified>
</cp:coreProperties>
</file>