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A51A8" w14:textId="3669D4B0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F01599">
        <w:rPr>
          <w:rFonts w:ascii="Times New Roman" w:hAnsi="Times New Roman" w:cs="Times New Roman"/>
          <w:b/>
          <w:sz w:val="40"/>
          <w:szCs w:val="40"/>
        </w:rPr>
        <w:t>Anaemia</w:t>
      </w:r>
      <w:proofErr w:type="spellEnd"/>
      <w:r w:rsidRPr="00F01599">
        <w:rPr>
          <w:rFonts w:ascii="Times New Roman" w:hAnsi="Times New Roman" w:cs="Times New Roman"/>
          <w:b/>
          <w:sz w:val="40"/>
          <w:szCs w:val="40"/>
        </w:rPr>
        <w:t xml:space="preserve"> Health Analysis Report</w:t>
      </w:r>
    </w:p>
    <w:p w14:paraId="37282C09" w14:textId="515CFC07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F01599">
        <w:rPr>
          <w:rFonts w:ascii="Times New Roman" w:hAnsi="Times New Roman" w:cs="Times New Roman"/>
          <w:b/>
          <w:sz w:val="36"/>
          <w:szCs w:val="36"/>
        </w:rPr>
        <w:t>1. Introduction</w:t>
      </w:r>
    </w:p>
    <w:p w14:paraId="52F7F7B1" w14:textId="3699FA4C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F01599">
        <w:rPr>
          <w:rFonts w:ascii="Times New Roman" w:hAnsi="Times New Roman" w:cs="Times New Roman"/>
        </w:rPr>
        <w:t>Anaemia</w:t>
      </w:r>
      <w:proofErr w:type="spellEnd"/>
      <w:r w:rsidRPr="00F01599">
        <w:rPr>
          <w:rFonts w:ascii="Times New Roman" w:hAnsi="Times New Roman" w:cs="Times New Roman"/>
        </w:rPr>
        <w:t xml:space="preserve"> is a persistent public health concern with serious consequences for women and children. It weakens immunity, reduces productivity, increases the risk of maternal and perinatal mortality, and slows socioeconomic development. In low-resource settings, </w:t>
      </w:r>
      <w:proofErr w:type="spellStart"/>
      <w:r w:rsidRPr="00F01599">
        <w:rPr>
          <w:rFonts w:ascii="Times New Roman" w:hAnsi="Times New Roman" w:cs="Times New Roman"/>
        </w:rPr>
        <w:t>anaemia</w:t>
      </w:r>
      <w:proofErr w:type="spellEnd"/>
      <w:r w:rsidRPr="00F01599">
        <w:rPr>
          <w:rFonts w:ascii="Times New Roman" w:hAnsi="Times New Roman" w:cs="Times New Roman"/>
        </w:rPr>
        <w:t xml:space="preserve"> is often caused by poor nutrition, malaria, early pregnancies, and inequities in access to healthcare and education.</w:t>
      </w:r>
    </w:p>
    <w:p w14:paraId="0491BAC0" w14:textId="0B8C0C42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 xml:space="preserve">This analysis was carried out using </w:t>
      </w:r>
      <w:proofErr w:type="spellStart"/>
      <w:r w:rsidRPr="00F01599">
        <w:rPr>
          <w:rFonts w:ascii="Times New Roman" w:hAnsi="Times New Roman" w:cs="Times New Roman"/>
        </w:rPr>
        <w:t>anaemia</w:t>
      </w:r>
      <w:proofErr w:type="spellEnd"/>
      <w:r w:rsidRPr="00F01599">
        <w:rPr>
          <w:rFonts w:ascii="Times New Roman" w:hAnsi="Times New Roman" w:cs="Times New Roman"/>
        </w:rPr>
        <w:t xml:space="preserve">-related health data, focusing on key determinants such as age at first birth, education level, mosquito-net usage, </w:t>
      </w:r>
      <w:proofErr w:type="spellStart"/>
      <w:r w:rsidRPr="00F01599">
        <w:rPr>
          <w:rFonts w:ascii="Times New Roman" w:hAnsi="Times New Roman" w:cs="Times New Roman"/>
        </w:rPr>
        <w:t>haemoglobin</w:t>
      </w:r>
      <w:proofErr w:type="spellEnd"/>
      <w:r w:rsidRPr="00F01599">
        <w:rPr>
          <w:rFonts w:ascii="Times New Roman" w:hAnsi="Times New Roman" w:cs="Times New Roman"/>
        </w:rPr>
        <w:t xml:space="preserve"> levels, residence, and wealth index. The results aim to guide health-sector decision-making and program design.</w:t>
      </w:r>
    </w:p>
    <w:p w14:paraId="16660463" w14:textId="1A534638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F01599">
        <w:rPr>
          <w:rFonts w:ascii="Times New Roman" w:hAnsi="Times New Roman" w:cs="Times New Roman"/>
          <w:b/>
          <w:sz w:val="36"/>
          <w:szCs w:val="36"/>
        </w:rPr>
        <w:t>2. Objectives</w:t>
      </w:r>
    </w:p>
    <w:p w14:paraId="70F9E1C2" w14:textId="780CA462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>The main objectives of this analysis were:</w:t>
      </w:r>
    </w:p>
    <w:p w14:paraId="344763B7" w14:textId="5407F2BB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 xml:space="preserve">1. To assess the distribution of </w:t>
      </w:r>
      <w:proofErr w:type="spellStart"/>
      <w:r w:rsidRPr="00F01599">
        <w:rPr>
          <w:rFonts w:ascii="Times New Roman" w:hAnsi="Times New Roman" w:cs="Times New Roman"/>
        </w:rPr>
        <w:t>anaemia</w:t>
      </w:r>
      <w:proofErr w:type="spellEnd"/>
      <w:r w:rsidRPr="00F01599">
        <w:rPr>
          <w:rFonts w:ascii="Times New Roman" w:hAnsi="Times New Roman" w:cs="Times New Roman"/>
        </w:rPr>
        <w:t xml:space="preserve"> across different demographic groups (age at first birth, age groups, residence, education, and wealth levels).</w:t>
      </w:r>
    </w:p>
    <w:p w14:paraId="18D23EA8" w14:textId="2041785C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 xml:space="preserve">2. To identify socioeconomic and environmental factors associated with </w:t>
      </w:r>
      <w:proofErr w:type="spellStart"/>
      <w:r w:rsidRPr="00F01599">
        <w:rPr>
          <w:rFonts w:ascii="Times New Roman" w:hAnsi="Times New Roman" w:cs="Times New Roman"/>
        </w:rPr>
        <w:t>anaemia</w:t>
      </w:r>
      <w:proofErr w:type="spellEnd"/>
      <w:r w:rsidRPr="00F01599">
        <w:rPr>
          <w:rFonts w:ascii="Times New Roman" w:hAnsi="Times New Roman" w:cs="Times New Roman"/>
        </w:rPr>
        <w:t>, including malaria prevention practices (mosquito-net use).</w:t>
      </w:r>
    </w:p>
    <w:p w14:paraId="1E6149EE" w14:textId="74990F12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 xml:space="preserve">3. To highlight high-risk groups most affected by </w:t>
      </w:r>
      <w:proofErr w:type="spellStart"/>
      <w:r w:rsidRPr="00F01599">
        <w:rPr>
          <w:rFonts w:ascii="Times New Roman" w:hAnsi="Times New Roman" w:cs="Times New Roman"/>
        </w:rPr>
        <w:t>anaemia</w:t>
      </w:r>
      <w:proofErr w:type="spellEnd"/>
      <w:r w:rsidRPr="00F01599">
        <w:rPr>
          <w:rFonts w:ascii="Times New Roman" w:hAnsi="Times New Roman" w:cs="Times New Roman"/>
        </w:rPr>
        <w:t>.</w:t>
      </w:r>
    </w:p>
    <w:p w14:paraId="325E41BF" w14:textId="471F1639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>4. To generate actionable recommendations that can inform programmatic interventions and resource allocation in the health sector.</w:t>
      </w:r>
    </w:p>
    <w:p w14:paraId="3F855E7D" w14:textId="64ECF33E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F01599">
        <w:rPr>
          <w:rFonts w:ascii="Times New Roman" w:hAnsi="Times New Roman" w:cs="Times New Roman"/>
          <w:b/>
          <w:sz w:val="36"/>
          <w:szCs w:val="36"/>
        </w:rPr>
        <w:t>3. Stages of Data Analysis</w:t>
      </w:r>
    </w:p>
    <w:p w14:paraId="1C09EC19" w14:textId="38092846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 xml:space="preserve">3.1 </w:t>
      </w:r>
      <w:r w:rsidRPr="00F01599">
        <w:rPr>
          <w:rFonts w:ascii="Times New Roman" w:hAnsi="Times New Roman" w:cs="Times New Roman"/>
          <w:b/>
        </w:rPr>
        <w:t>Data Collection</w:t>
      </w:r>
    </w:p>
    <w:p w14:paraId="505DC3F6" w14:textId="02A47235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 xml:space="preserve">Data were extracted from </w:t>
      </w:r>
      <w:proofErr w:type="spellStart"/>
      <w:r w:rsidRPr="00F01599">
        <w:rPr>
          <w:rFonts w:ascii="Times New Roman" w:hAnsi="Times New Roman" w:cs="Times New Roman"/>
        </w:rPr>
        <w:t>anaemia</w:t>
      </w:r>
      <w:proofErr w:type="spellEnd"/>
      <w:r w:rsidRPr="00F01599">
        <w:rPr>
          <w:rFonts w:ascii="Times New Roman" w:hAnsi="Times New Roman" w:cs="Times New Roman"/>
        </w:rPr>
        <w:t xml:space="preserve"> prevalence and health indicator records.</w:t>
      </w:r>
    </w:p>
    <w:p w14:paraId="6FFBE823" w14:textId="240F5FA9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 xml:space="preserve">Key variables included age, education, residence, wealth index, mosquito-net use, and </w:t>
      </w:r>
      <w:proofErr w:type="spellStart"/>
      <w:r w:rsidRPr="00F01599">
        <w:rPr>
          <w:rFonts w:ascii="Times New Roman" w:hAnsi="Times New Roman" w:cs="Times New Roman"/>
        </w:rPr>
        <w:t>haemoglobin</w:t>
      </w:r>
      <w:proofErr w:type="spellEnd"/>
      <w:r w:rsidRPr="00F01599">
        <w:rPr>
          <w:rFonts w:ascii="Times New Roman" w:hAnsi="Times New Roman" w:cs="Times New Roman"/>
        </w:rPr>
        <w:t xml:space="preserve"> levels.</w:t>
      </w:r>
    </w:p>
    <w:p w14:paraId="2191FFAD" w14:textId="299DC496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F01599">
        <w:rPr>
          <w:rFonts w:ascii="Times New Roman" w:hAnsi="Times New Roman" w:cs="Times New Roman"/>
          <w:b/>
        </w:rPr>
        <w:t>3.2 Data Cleaning and Preparation</w:t>
      </w:r>
    </w:p>
    <w:p w14:paraId="19A03A82" w14:textId="16F18274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>Checked for completeness, duplicates, and consistency.</w:t>
      </w:r>
    </w:p>
    <w:p w14:paraId="6E853174" w14:textId="3A0B7A9B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 xml:space="preserve">Categorized </w:t>
      </w:r>
      <w:proofErr w:type="spellStart"/>
      <w:r w:rsidRPr="00F01599">
        <w:rPr>
          <w:rFonts w:ascii="Times New Roman" w:hAnsi="Times New Roman" w:cs="Times New Roman"/>
        </w:rPr>
        <w:t>haemoglobin</w:t>
      </w:r>
      <w:proofErr w:type="spellEnd"/>
      <w:r w:rsidRPr="00F01599">
        <w:rPr>
          <w:rFonts w:ascii="Times New Roman" w:hAnsi="Times New Roman" w:cs="Times New Roman"/>
        </w:rPr>
        <w:t xml:space="preserve"> levels:</w:t>
      </w:r>
    </w:p>
    <w:p w14:paraId="20D22757" w14:textId="64AD8C4D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>Severe (&lt;7 g/dL)</w:t>
      </w:r>
    </w:p>
    <w:p w14:paraId="393C0095" w14:textId="77777777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>Moderate (7–9.9 g/dL)</w:t>
      </w:r>
    </w:p>
    <w:p w14:paraId="407FFA3C" w14:textId="77777777" w:rsid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>Mild (10–11.9 g/</w:t>
      </w:r>
      <w:proofErr w:type="spellStart"/>
      <w:r w:rsidRPr="00F01599">
        <w:rPr>
          <w:rFonts w:ascii="Times New Roman" w:hAnsi="Times New Roman" w:cs="Times New Roman"/>
        </w:rPr>
        <w:t>dL</w:t>
      </w:r>
      <w:proofErr w:type="spellEnd"/>
      <w:r w:rsidRPr="00F01599">
        <w:rPr>
          <w:rFonts w:ascii="Times New Roman" w:hAnsi="Times New Roman" w:cs="Times New Roman"/>
        </w:rPr>
        <w:t>)</w:t>
      </w:r>
    </w:p>
    <w:p w14:paraId="5450A3ED" w14:textId="173DBD89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lastRenderedPageBreak/>
        <w:t>Standardized socioeconomic and demographic groupings.</w:t>
      </w:r>
    </w:p>
    <w:p w14:paraId="049331B4" w14:textId="3F626EBA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F01599">
        <w:rPr>
          <w:rFonts w:ascii="Times New Roman" w:hAnsi="Times New Roman" w:cs="Times New Roman"/>
          <w:b/>
        </w:rPr>
        <w:t>3.3 Data Exploration</w:t>
      </w:r>
    </w:p>
    <w:p w14:paraId="30566EDF" w14:textId="054C6749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>Generated descriptive statistics (counts) for each category.</w:t>
      </w:r>
    </w:p>
    <w:p w14:paraId="2A71F98C" w14:textId="61140683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 xml:space="preserve">Compared </w:t>
      </w:r>
      <w:proofErr w:type="spellStart"/>
      <w:r w:rsidRPr="00F01599">
        <w:rPr>
          <w:rFonts w:ascii="Times New Roman" w:hAnsi="Times New Roman" w:cs="Times New Roman"/>
        </w:rPr>
        <w:t>anaemia</w:t>
      </w:r>
      <w:proofErr w:type="spellEnd"/>
      <w:r w:rsidRPr="00F01599">
        <w:rPr>
          <w:rFonts w:ascii="Times New Roman" w:hAnsi="Times New Roman" w:cs="Times New Roman"/>
        </w:rPr>
        <w:t xml:space="preserve"> prevalence across subgroups.</w:t>
      </w:r>
    </w:p>
    <w:p w14:paraId="5884710E" w14:textId="71F6F1C6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>Identified patterns and disparities.</w:t>
      </w:r>
    </w:p>
    <w:p w14:paraId="4E0137C7" w14:textId="187035D6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F01599">
        <w:rPr>
          <w:rFonts w:ascii="Times New Roman" w:hAnsi="Times New Roman" w:cs="Times New Roman"/>
          <w:b/>
          <w:sz w:val="36"/>
          <w:szCs w:val="36"/>
        </w:rPr>
        <w:t>4. Key Findings</w:t>
      </w:r>
    </w:p>
    <w:p w14:paraId="7BC39F5E" w14:textId="33E8199E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F01599">
        <w:rPr>
          <w:rFonts w:ascii="Times New Roman" w:hAnsi="Times New Roman" w:cs="Times New Roman"/>
          <w:b/>
        </w:rPr>
        <w:t>4.1 Age at First Birth</w:t>
      </w:r>
    </w:p>
    <w:p w14:paraId="30C8FF1E" w14:textId="25498B04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>Highest cases among women giving birth at 18–24 years (757) and below 18 years (482).</w:t>
      </w:r>
    </w:p>
    <w:p w14:paraId="29F001CF" w14:textId="77777777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>Very low among women giving birth at 30 years and above (17).</w:t>
      </w:r>
    </w:p>
    <w:p w14:paraId="08752EDF" w14:textId="614FAC4C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Segoe UI Symbol" w:hAnsi="Segoe UI Symbol" w:cs="Segoe UI Symbol"/>
        </w:rPr>
        <w:t>➡</w:t>
      </w:r>
      <w:r w:rsidRPr="00F01599">
        <w:rPr>
          <w:rFonts w:ascii="Times New Roman" w:hAnsi="Times New Roman" w:cs="Times New Roman"/>
        </w:rPr>
        <w:t xml:space="preserve"> Early pregnancies are strongly associated with higher </w:t>
      </w:r>
      <w:proofErr w:type="spellStart"/>
      <w:r w:rsidRPr="00F01599">
        <w:rPr>
          <w:rFonts w:ascii="Times New Roman" w:hAnsi="Times New Roman" w:cs="Times New Roman"/>
        </w:rPr>
        <w:t>anaemia</w:t>
      </w:r>
      <w:proofErr w:type="spellEnd"/>
      <w:r w:rsidRPr="00F01599">
        <w:rPr>
          <w:rFonts w:ascii="Times New Roman" w:hAnsi="Times New Roman" w:cs="Times New Roman"/>
        </w:rPr>
        <w:t xml:space="preserve"> burden.</w:t>
      </w:r>
    </w:p>
    <w:p w14:paraId="49C4CE2E" w14:textId="1DF68F3D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F01599">
        <w:rPr>
          <w:rFonts w:ascii="Times New Roman" w:hAnsi="Times New Roman" w:cs="Times New Roman"/>
          <w:b/>
        </w:rPr>
        <w:t>4.2 Education</w:t>
      </w:r>
    </w:p>
    <w:p w14:paraId="4A068C6B" w14:textId="71BCC324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 xml:space="preserve">Women with no education (particularly in rural areas) recorded the highest </w:t>
      </w:r>
      <w:proofErr w:type="spellStart"/>
      <w:r w:rsidRPr="00F01599">
        <w:rPr>
          <w:rFonts w:ascii="Times New Roman" w:hAnsi="Times New Roman" w:cs="Times New Roman"/>
        </w:rPr>
        <w:t>anaemia</w:t>
      </w:r>
      <w:proofErr w:type="spellEnd"/>
      <w:r w:rsidRPr="00F01599">
        <w:rPr>
          <w:rFonts w:ascii="Times New Roman" w:hAnsi="Times New Roman" w:cs="Times New Roman"/>
        </w:rPr>
        <w:t xml:space="preserve"> cases.</w:t>
      </w:r>
    </w:p>
    <w:p w14:paraId="7845C9B9" w14:textId="77777777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>Cases decreased progressively with higher education.</w:t>
      </w:r>
    </w:p>
    <w:p w14:paraId="495F12D5" w14:textId="0996B197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Segoe UI Symbol" w:hAnsi="Segoe UI Symbol" w:cs="Segoe UI Symbol"/>
        </w:rPr>
        <w:t>➡</w:t>
      </w:r>
      <w:r w:rsidRPr="00F01599">
        <w:rPr>
          <w:rFonts w:ascii="Times New Roman" w:hAnsi="Times New Roman" w:cs="Times New Roman"/>
        </w:rPr>
        <w:t xml:space="preserve"> Education is protective against </w:t>
      </w:r>
      <w:proofErr w:type="spellStart"/>
      <w:r w:rsidRPr="00F01599">
        <w:rPr>
          <w:rFonts w:ascii="Times New Roman" w:hAnsi="Times New Roman" w:cs="Times New Roman"/>
        </w:rPr>
        <w:t>anaemia</w:t>
      </w:r>
      <w:proofErr w:type="spellEnd"/>
      <w:r w:rsidRPr="00F01599">
        <w:rPr>
          <w:rFonts w:ascii="Times New Roman" w:hAnsi="Times New Roman" w:cs="Times New Roman"/>
        </w:rPr>
        <w:t xml:space="preserve"> through better knowledge and health-seeking practices.</w:t>
      </w:r>
    </w:p>
    <w:p w14:paraId="59B3E6F2" w14:textId="0D6A9FC9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F01599">
        <w:rPr>
          <w:rFonts w:ascii="Times New Roman" w:hAnsi="Times New Roman" w:cs="Times New Roman"/>
          <w:b/>
        </w:rPr>
        <w:t>4.3 Mosquito-Net Usage</w:t>
      </w:r>
    </w:p>
    <w:p w14:paraId="65AFB617" w14:textId="3A1EC5D9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 xml:space="preserve">989 cases among net </w:t>
      </w:r>
      <w:bookmarkStart w:id="0" w:name="_GoBack"/>
      <w:bookmarkEnd w:id="0"/>
      <w:r w:rsidR="009015D1" w:rsidRPr="00F01599">
        <w:rPr>
          <w:rFonts w:ascii="Times New Roman" w:hAnsi="Times New Roman" w:cs="Times New Roman"/>
        </w:rPr>
        <w:t>user’s</w:t>
      </w:r>
      <w:r w:rsidRPr="00F01599">
        <w:rPr>
          <w:rFonts w:ascii="Times New Roman" w:hAnsi="Times New Roman" w:cs="Times New Roman"/>
        </w:rPr>
        <w:t xml:space="preserve"> vs 434 cases among non-users.</w:t>
      </w:r>
    </w:p>
    <w:p w14:paraId="74009A59" w14:textId="4E2B3090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Segoe UI Symbol" w:hAnsi="Segoe UI Symbol" w:cs="Segoe UI Symbol"/>
        </w:rPr>
        <w:t>➡</w:t>
      </w:r>
      <w:r w:rsidRPr="00F01599">
        <w:rPr>
          <w:rFonts w:ascii="Times New Roman" w:hAnsi="Times New Roman" w:cs="Times New Roman"/>
        </w:rPr>
        <w:t xml:space="preserve"> Suggests high malaria burden in areas where nets are widely distributed, rather than ineffectiveness of nets.</w:t>
      </w:r>
    </w:p>
    <w:p w14:paraId="486DC3D8" w14:textId="23F0FEF9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F01599">
        <w:rPr>
          <w:rFonts w:ascii="Times New Roman" w:hAnsi="Times New Roman" w:cs="Times New Roman"/>
          <w:b/>
        </w:rPr>
        <w:t xml:space="preserve">4.4 </w:t>
      </w:r>
      <w:proofErr w:type="spellStart"/>
      <w:r w:rsidRPr="00F01599">
        <w:rPr>
          <w:rFonts w:ascii="Times New Roman" w:hAnsi="Times New Roman" w:cs="Times New Roman"/>
          <w:b/>
        </w:rPr>
        <w:t>Haemoglobin</w:t>
      </w:r>
      <w:proofErr w:type="spellEnd"/>
      <w:r w:rsidRPr="00F01599">
        <w:rPr>
          <w:rFonts w:ascii="Times New Roman" w:hAnsi="Times New Roman" w:cs="Times New Roman"/>
          <w:b/>
        </w:rPr>
        <w:t xml:space="preserve"> Levels by Age Group</w:t>
      </w:r>
    </w:p>
    <w:p w14:paraId="35FF1348" w14:textId="77777777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 xml:space="preserve">Moderate-to-severe </w:t>
      </w:r>
      <w:proofErr w:type="spellStart"/>
      <w:r w:rsidRPr="00F01599">
        <w:rPr>
          <w:rFonts w:ascii="Times New Roman" w:hAnsi="Times New Roman" w:cs="Times New Roman"/>
        </w:rPr>
        <w:t>anaemia</w:t>
      </w:r>
      <w:proofErr w:type="spellEnd"/>
      <w:r w:rsidRPr="00F01599">
        <w:rPr>
          <w:rFonts w:ascii="Times New Roman" w:hAnsi="Times New Roman" w:cs="Times New Roman"/>
        </w:rPr>
        <w:t xml:space="preserve"> was concentrated among women aged 20–34 years.</w:t>
      </w:r>
    </w:p>
    <w:p w14:paraId="2907DAE4" w14:textId="4FDAEF71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Segoe UI Symbol" w:hAnsi="Segoe UI Symbol" w:cs="Segoe UI Symbol"/>
        </w:rPr>
        <w:t>➡</w:t>
      </w:r>
      <w:r w:rsidRPr="00F01599">
        <w:rPr>
          <w:rFonts w:ascii="Times New Roman" w:hAnsi="Times New Roman" w:cs="Times New Roman"/>
        </w:rPr>
        <w:t xml:space="preserve"> Reproductive age women face the highest risk due to nutritional demands of pregnancy and childbirth.</w:t>
      </w:r>
    </w:p>
    <w:p w14:paraId="1D98FF2F" w14:textId="051801E1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F01599">
        <w:rPr>
          <w:rFonts w:ascii="Times New Roman" w:hAnsi="Times New Roman" w:cs="Times New Roman"/>
          <w:b/>
        </w:rPr>
        <w:t>4.5 Residence</w:t>
      </w:r>
    </w:p>
    <w:p w14:paraId="11827F26" w14:textId="77777777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>Rural women: 1,694 cases vs Urban women: 745 cases.</w:t>
      </w:r>
    </w:p>
    <w:p w14:paraId="56549CCF" w14:textId="77777777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Segoe UI Symbol" w:hAnsi="Segoe UI Symbol" w:cs="Segoe UI Symbol"/>
        </w:rPr>
        <w:t>➡</w:t>
      </w:r>
      <w:r w:rsidRPr="00F01599">
        <w:rPr>
          <w:rFonts w:ascii="Times New Roman" w:hAnsi="Times New Roman" w:cs="Times New Roman"/>
        </w:rPr>
        <w:t xml:space="preserve"> Rural populations face systemic disadvantages in healthcare access and nutrition.</w:t>
      </w:r>
    </w:p>
    <w:p w14:paraId="0710A066" w14:textId="77777777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</w:p>
    <w:p w14:paraId="23E60B73" w14:textId="77777777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</w:p>
    <w:p w14:paraId="23530C96" w14:textId="53F433F9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F01599">
        <w:rPr>
          <w:rFonts w:ascii="Times New Roman" w:hAnsi="Times New Roman" w:cs="Times New Roman"/>
          <w:b/>
        </w:rPr>
        <w:lastRenderedPageBreak/>
        <w:t>4.6 Wealth Index</w:t>
      </w:r>
    </w:p>
    <w:p w14:paraId="326C8199" w14:textId="32E48045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F01599">
        <w:rPr>
          <w:rFonts w:ascii="Times New Roman" w:hAnsi="Times New Roman" w:cs="Times New Roman"/>
        </w:rPr>
        <w:t>Anaemia</w:t>
      </w:r>
      <w:proofErr w:type="spellEnd"/>
      <w:r w:rsidRPr="00F01599">
        <w:rPr>
          <w:rFonts w:ascii="Times New Roman" w:hAnsi="Times New Roman" w:cs="Times New Roman"/>
        </w:rPr>
        <w:t xml:space="preserve"> was highest among the poorest (239) and poorer (217) households.</w:t>
      </w:r>
    </w:p>
    <w:p w14:paraId="07B4A83F" w14:textId="77777777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>Minimal cases in the richest group (12).</w:t>
      </w:r>
    </w:p>
    <w:p w14:paraId="3504EAE2" w14:textId="1F3C3020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Segoe UI Symbol" w:hAnsi="Segoe UI Symbol" w:cs="Segoe UI Symbol"/>
        </w:rPr>
        <w:t>➡</w:t>
      </w:r>
      <w:r w:rsidRPr="00F01599">
        <w:rPr>
          <w:rFonts w:ascii="Times New Roman" w:hAnsi="Times New Roman" w:cs="Times New Roman"/>
        </w:rPr>
        <w:t xml:space="preserve"> Poverty is a significant determinant of </w:t>
      </w:r>
      <w:proofErr w:type="spellStart"/>
      <w:r w:rsidRPr="00F01599">
        <w:rPr>
          <w:rFonts w:ascii="Times New Roman" w:hAnsi="Times New Roman" w:cs="Times New Roman"/>
        </w:rPr>
        <w:t>anaemia</w:t>
      </w:r>
      <w:proofErr w:type="spellEnd"/>
      <w:r w:rsidRPr="00F01599">
        <w:rPr>
          <w:rFonts w:ascii="Times New Roman" w:hAnsi="Times New Roman" w:cs="Times New Roman"/>
        </w:rPr>
        <w:t>.</w:t>
      </w:r>
    </w:p>
    <w:p w14:paraId="420B030F" w14:textId="6B8A7B93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F01599">
        <w:rPr>
          <w:rFonts w:ascii="Times New Roman" w:hAnsi="Times New Roman" w:cs="Times New Roman"/>
          <w:b/>
          <w:sz w:val="36"/>
          <w:szCs w:val="36"/>
        </w:rPr>
        <w:t>5. Programmatic Recommendations</w:t>
      </w:r>
    </w:p>
    <w:p w14:paraId="0C1CE17D" w14:textId="066B7F17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 xml:space="preserve">1. </w:t>
      </w:r>
      <w:r w:rsidRPr="00F01599">
        <w:rPr>
          <w:rFonts w:ascii="Times New Roman" w:hAnsi="Times New Roman" w:cs="Times New Roman"/>
          <w:b/>
        </w:rPr>
        <w:t>Address Early Pregnancies</w:t>
      </w:r>
      <w:r w:rsidR="00F01599" w:rsidRPr="00F01599">
        <w:rPr>
          <w:rFonts w:ascii="Times New Roman" w:hAnsi="Times New Roman" w:cs="Times New Roman"/>
          <w:b/>
        </w:rPr>
        <w:t>:</w:t>
      </w:r>
      <w:r w:rsidR="00F01599">
        <w:rPr>
          <w:rFonts w:ascii="Times New Roman" w:hAnsi="Times New Roman" w:cs="Times New Roman"/>
        </w:rPr>
        <w:t xml:space="preserve"> </w:t>
      </w:r>
      <w:r w:rsidRPr="00F01599">
        <w:rPr>
          <w:rFonts w:ascii="Times New Roman" w:hAnsi="Times New Roman" w:cs="Times New Roman"/>
        </w:rPr>
        <w:t>Strengthen reproductive health services, school health education, and family planning programs.</w:t>
      </w:r>
    </w:p>
    <w:p w14:paraId="3FFEA20A" w14:textId="7F45058E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 xml:space="preserve">2. </w:t>
      </w:r>
      <w:r w:rsidRPr="00F01599">
        <w:rPr>
          <w:rFonts w:ascii="Times New Roman" w:hAnsi="Times New Roman" w:cs="Times New Roman"/>
          <w:b/>
        </w:rPr>
        <w:t>Rural Health Interventions</w:t>
      </w:r>
      <w:r w:rsidR="00F01599">
        <w:rPr>
          <w:rFonts w:ascii="Times New Roman" w:hAnsi="Times New Roman" w:cs="Times New Roman"/>
        </w:rPr>
        <w:t xml:space="preserve">: </w:t>
      </w:r>
      <w:r w:rsidRPr="00F01599">
        <w:rPr>
          <w:rFonts w:ascii="Times New Roman" w:hAnsi="Times New Roman" w:cs="Times New Roman"/>
        </w:rPr>
        <w:t>Expand outreach services and supply rural clinics with iron/folate supplements and diagnostic kits.</w:t>
      </w:r>
    </w:p>
    <w:p w14:paraId="5A7C3C06" w14:textId="09672208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>Deploy community health workers to support screening and follow-up.</w:t>
      </w:r>
    </w:p>
    <w:p w14:paraId="0EF476BB" w14:textId="77777777" w:rsid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 xml:space="preserve">3. </w:t>
      </w:r>
      <w:r w:rsidRPr="00F01599">
        <w:rPr>
          <w:rFonts w:ascii="Times New Roman" w:hAnsi="Times New Roman" w:cs="Times New Roman"/>
          <w:b/>
        </w:rPr>
        <w:t>Poverty and Nutrition Support</w:t>
      </w:r>
      <w:r w:rsidR="00F01599">
        <w:rPr>
          <w:rFonts w:ascii="Times New Roman" w:hAnsi="Times New Roman" w:cs="Times New Roman"/>
          <w:b/>
        </w:rPr>
        <w:t>:</w:t>
      </w:r>
      <w:r w:rsidR="00F01599">
        <w:rPr>
          <w:rFonts w:ascii="Times New Roman" w:hAnsi="Times New Roman" w:cs="Times New Roman"/>
        </w:rPr>
        <w:t xml:space="preserve"> </w:t>
      </w:r>
      <w:r w:rsidRPr="00F01599">
        <w:rPr>
          <w:rFonts w:ascii="Times New Roman" w:hAnsi="Times New Roman" w:cs="Times New Roman"/>
        </w:rPr>
        <w:t>Implement food fortification (iron-fortified flour, cereals, and cooking salt).</w:t>
      </w:r>
    </w:p>
    <w:p w14:paraId="2C20793D" w14:textId="70B874B0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>Provide social protection programs (cash transfers or nutrition vouchers) for the poorest households.</w:t>
      </w:r>
    </w:p>
    <w:p w14:paraId="176D6865" w14:textId="0AD22DEF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F01599">
        <w:rPr>
          <w:rFonts w:ascii="Times New Roman" w:hAnsi="Times New Roman" w:cs="Times New Roman"/>
          <w:b/>
        </w:rPr>
        <w:t>4. Malaria–</w:t>
      </w:r>
      <w:proofErr w:type="spellStart"/>
      <w:r w:rsidRPr="00F01599">
        <w:rPr>
          <w:rFonts w:ascii="Times New Roman" w:hAnsi="Times New Roman" w:cs="Times New Roman"/>
          <w:b/>
        </w:rPr>
        <w:t>Anaemia</w:t>
      </w:r>
      <w:proofErr w:type="spellEnd"/>
      <w:r w:rsidRPr="00F01599">
        <w:rPr>
          <w:rFonts w:ascii="Times New Roman" w:hAnsi="Times New Roman" w:cs="Times New Roman"/>
          <w:b/>
        </w:rPr>
        <w:t xml:space="preserve"> Integration</w:t>
      </w:r>
    </w:p>
    <w:p w14:paraId="5C403FA6" w14:textId="6B1EB532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>Distribute mosquito nets alongside iron supplementation and deworming drugs.</w:t>
      </w:r>
    </w:p>
    <w:p w14:paraId="2A721EC4" w14:textId="0F1C7133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>Increase malaria testing and preventive treatment among pregnant women.</w:t>
      </w:r>
    </w:p>
    <w:p w14:paraId="2E5C5711" w14:textId="253F46A3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F01599">
        <w:rPr>
          <w:rFonts w:ascii="Times New Roman" w:hAnsi="Times New Roman" w:cs="Times New Roman"/>
          <w:b/>
        </w:rPr>
        <w:t xml:space="preserve">5. Education and </w:t>
      </w:r>
      <w:proofErr w:type="spellStart"/>
      <w:r w:rsidRPr="00F01599">
        <w:rPr>
          <w:rFonts w:ascii="Times New Roman" w:hAnsi="Times New Roman" w:cs="Times New Roman"/>
          <w:b/>
        </w:rPr>
        <w:t>Behaviour</w:t>
      </w:r>
      <w:proofErr w:type="spellEnd"/>
      <w:r w:rsidRPr="00F01599">
        <w:rPr>
          <w:rFonts w:ascii="Times New Roman" w:hAnsi="Times New Roman" w:cs="Times New Roman"/>
          <w:b/>
        </w:rPr>
        <w:t xml:space="preserve"> Change</w:t>
      </w:r>
    </w:p>
    <w:p w14:paraId="2FAAFFFF" w14:textId="2C21528F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>Promote awareness on iron-rich diets and cooking practices that improve absorption.</w:t>
      </w:r>
    </w:p>
    <w:p w14:paraId="288DFD9F" w14:textId="53137908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 xml:space="preserve">Incorporate </w:t>
      </w:r>
      <w:proofErr w:type="spellStart"/>
      <w:r w:rsidRPr="00F01599">
        <w:rPr>
          <w:rFonts w:ascii="Times New Roman" w:hAnsi="Times New Roman" w:cs="Times New Roman"/>
        </w:rPr>
        <w:t>anaemia</w:t>
      </w:r>
      <w:proofErr w:type="spellEnd"/>
      <w:r w:rsidRPr="00F01599">
        <w:rPr>
          <w:rFonts w:ascii="Times New Roman" w:hAnsi="Times New Roman" w:cs="Times New Roman"/>
        </w:rPr>
        <w:t xml:space="preserve"> prevention into school and community programs.</w:t>
      </w:r>
    </w:p>
    <w:p w14:paraId="56AE8C06" w14:textId="36270555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F01599">
        <w:rPr>
          <w:rFonts w:ascii="Times New Roman" w:hAnsi="Times New Roman" w:cs="Times New Roman"/>
          <w:b/>
          <w:sz w:val="36"/>
          <w:szCs w:val="36"/>
        </w:rPr>
        <w:t>6. Conclusion</w:t>
      </w:r>
    </w:p>
    <w:p w14:paraId="59C91F6D" w14:textId="4DD811D8" w:rsidR="00D0566F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 xml:space="preserve">This analysis highlights that young mothers, women with no education, rural residents, and the poorest households are the most affected by </w:t>
      </w:r>
      <w:proofErr w:type="spellStart"/>
      <w:r w:rsidRPr="00F01599">
        <w:rPr>
          <w:rFonts w:ascii="Times New Roman" w:hAnsi="Times New Roman" w:cs="Times New Roman"/>
        </w:rPr>
        <w:t>anaemia</w:t>
      </w:r>
      <w:proofErr w:type="spellEnd"/>
      <w:r w:rsidRPr="00F01599">
        <w:rPr>
          <w:rFonts w:ascii="Times New Roman" w:hAnsi="Times New Roman" w:cs="Times New Roman"/>
        </w:rPr>
        <w:t>. These groups face multiple overlapping vulnerabilities, making them priority targets for intervention.</w:t>
      </w:r>
    </w:p>
    <w:p w14:paraId="0B4C69F5" w14:textId="10A5F3DB" w:rsidR="007B2F19" w:rsidRPr="00F01599" w:rsidRDefault="00D0566F" w:rsidP="00F01599">
      <w:pPr>
        <w:spacing w:line="276" w:lineRule="auto"/>
        <w:jc w:val="both"/>
        <w:rPr>
          <w:rFonts w:ascii="Times New Roman" w:hAnsi="Times New Roman" w:cs="Times New Roman"/>
        </w:rPr>
      </w:pPr>
      <w:r w:rsidRPr="00F01599">
        <w:rPr>
          <w:rFonts w:ascii="Times New Roman" w:hAnsi="Times New Roman" w:cs="Times New Roman"/>
        </w:rPr>
        <w:t xml:space="preserve">By addressing the social, economic, and health determinants of </w:t>
      </w:r>
      <w:proofErr w:type="spellStart"/>
      <w:r w:rsidRPr="00F01599">
        <w:rPr>
          <w:rFonts w:ascii="Times New Roman" w:hAnsi="Times New Roman" w:cs="Times New Roman"/>
        </w:rPr>
        <w:t>anaemia</w:t>
      </w:r>
      <w:proofErr w:type="spellEnd"/>
      <w:r w:rsidRPr="00F01599">
        <w:rPr>
          <w:rFonts w:ascii="Times New Roman" w:hAnsi="Times New Roman" w:cs="Times New Roman"/>
        </w:rPr>
        <w:t xml:space="preserve"> </w:t>
      </w:r>
      <w:r w:rsidR="00F01599">
        <w:rPr>
          <w:rFonts w:ascii="Times New Roman" w:hAnsi="Times New Roman" w:cs="Times New Roman"/>
        </w:rPr>
        <w:t xml:space="preserve">through integrated strategies </w:t>
      </w:r>
      <w:r w:rsidRPr="00F01599">
        <w:rPr>
          <w:rFonts w:ascii="Times New Roman" w:hAnsi="Times New Roman" w:cs="Times New Roman"/>
        </w:rPr>
        <w:t>nutrition, reproductive health, malaria prevention, rural service del</w:t>
      </w:r>
      <w:r w:rsidR="00F01599">
        <w:rPr>
          <w:rFonts w:ascii="Times New Roman" w:hAnsi="Times New Roman" w:cs="Times New Roman"/>
        </w:rPr>
        <w:t xml:space="preserve">ivery, and poverty </w:t>
      </w:r>
      <w:r w:rsidR="009015D1">
        <w:rPr>
          <w:rFonts w:ascii="Times New Roman" w:hAnsi="Times New Roman" w:cs="Times New Roman"/>
        </w:rPr>
        <w:t xml:space="preserve">alleviation </w:t>
      </w:r>
      <w:r w:rsidR="009015D1" w:rsidRPr="00F01599">
        <w:rPr>
          <w:rFonts w:ascii="Times New Roman" w:hAnsi="Times New Roman" w:cs="Times New Roman"/>
        </w:rPr>
        <w:t>the</w:t>
      </w:r>
      <w:r w:rsidRPr="00F01599">
        <w:rPr>
          <w:rFonts w:ascii="Times New Roman" w:hAnsi="Times New Roman" w:cs="Times New Roman"/>
        </w:rPr>
        <w:t xml:space="preserve"> health sector can significantly reduce </w:t>
      </w:r>
      <w:proofErr w:type="spellStart"/>
      <w:r w:rsidRPr="00F01599">
        <w:rPr>
          <w:rFonts w:ascii="Times New Roman" w:hAnsi="Times New Roman" w:cs="Times New Roman"/>
        </w:rPr>
        <w:t>anaemia</w:t>
      </w:r>
      <w:proofErr w:type="spellEnd"/>
      <w:r w:rsidRPr="00F01599">
        <w:rPr>
          <w:rFonts w:ascii="Times New Roman" w:hAnsi="Times New Roman" w:cs="Times New Roman"/>
        </w:rPr>
        <w:t xml:space="preserve"> prevalence and improve maternal and child health outcomes.</w:t>
      </w:r>
    </w:p>
    <w:sectPr w:rsidR="007B2F19" w:rsidRPr="00F01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54571"/>
    <w:multiLevelType w:val="hybridMultilevel"/>
    <w:tmpl w:val="47423D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C4577"/>
    <w:multiLevelType w:val="hybridMultilevel"/>
    <w:tmpl w:val="A58A3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66F"/>
    <w:rsid w:val="00642A28"/>
    <w:rsid w:val="0064434E"/>
    <w:rsid w:val="007B2F19"/>
    <w:rsid w:val="009015D1"/>
    <w:rsid w:val="009D3394"/>
    <w:rsid w:val="00D0566F"/>
    <w:rsid w:val="00F0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3C22"/>
  <w15:chartTrackingRefBased/>
  <w15:docId w15:val="{1F635F35-4319-8D4C-B248-07E2FB77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6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Christopher</dc:creator>
  <cp:keywords/>
  <dc:description/>
  <cp:lastModifiedBy>USER</cp:lastModifiedBy>
  <cp:revision>5</cp:revision>
  <dcterms:created xsi:type="dcterms:W3CDTF">2025-09-07T15:27:00Z</dcterms:created>
  <dcterms:modified xsi:type="dcterms:W3CDTF">2025-09-07T15:39:00Z</dcterms:modified>
</cp:coreProperties>
</file>