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ind w:left="240"/>
        <w:jc w:val="left"/>
      </w:pPr>
      <w:r>
        <w:rPr>
          <w:rFonts w:ascii="Arial" w:cs="Arial" w:eastAsia="Arial" w:hAnsi="Arial"/>
          <w:b/>
          <w:bCs/>
          <w:color w:val="FFFFFF"/>
          <w:sz w:val="52"/>
          <w:szCs w:val="52"/>
        </w:rPr>
        <w:t xml:space="preserve">CVLZ Spatial Supply–Demand Analysis</w:t>
      </w:r>
    </w:p>
    <w:p>
      <w:pPr>
        <w:shd w:fill="17375E" w:val="clear"/>
        <w:spacing w:after="0" w:before="0"/>
        <w:ind w:left="240"/>
        <w:jc w:val="left"/>
      </w:pPr>
      <w:r>
        <w:rPr>
          <w:rFonts w:ascii="Arial" w:cs="Arial" w:eastAsia="Arial" w:hAnsi="Arial"/>
          <w:color w:val="D0D0D0"/>
          <w:sz w:val="26"/>
          <w:szCs w:val="26"/>
        </w:rPr>
        <w:t xml:space="preserve">Full Analysis Plan, Indicator Definitions, and Python/GIS Workflow</w:t>
      </w:r>
    </w:p>
    <w:p>
      <w:pPr>
        <w:shd w:fill="17375E" w:val="clear"/>
        <w:spacing w:after="360" w:before="0"/>
        <w:ind w:left="240"/>
        <w:jc w:val="left"/>
      </w:pPr>
      <w:r>
        <w:rPr>
          <w:rFonts w:ascii="Arial" w:cs="Arial" w:eastAsia="Arial" w:hAnsi="Arial"/>
          <w:color w:val="BBBBBB"/>
          <w:sz w:val="22"/>
          <w:szCs w:val="22"/>
        </w:rPr>
        <w:t xml:space="preserve">URBAN 522  |  Yasmeen Sobaih, Christopher Tritt, John Levin  |  March 2026</w:t>
      </w:r>
    </w:p>
    <w:p>
      <w:pPr>
        <w:pStyle w:val="Heading1"/>
        <w:shd w:fill="1F4E79" w:val="clear"/>
        <w:spacing w:after="180" w:before="360"/>
        <w:ind w:left="180"/>
      </w:pPr>
      <w:r>
        <w:rPr>
          <w:rFonts w:ascii="Arial" w:cs="Arial" w:eastAsia="Arial" w:hAnsi="Arial"/>
          <w:b/>
          <w:bCs/>
          <w:color w:val="FFFFFF"/>
          <w:sz w:val="36"/>
          <w:szCs w:val="36"/>
        </w:rPr>
        <w:t xml:space="preserve">0  What Was Missing — and What This Document Adds</w:t>
      </w:r>
    </w:p>
    <w:p>
      <w:pPr>
        <w:spacing w:after="120" w:before="0" w:line="276"/>
        <w:jc w:val="left"/>
      </w:pPr>
      <w:r>
        <w:rPr>
          <w:rFonts w:ascii="Arial" w:cs="Arial" w:eastAsia="Arial" w:hAnsi="Arial"/>
          <w:b w:val="false"/>
          <w:bCs w:val="false"/>
          <w:i w:val="false"/>
          <w:iCs w:val="false"/>
          <w:color w:val="000000"/>
          <w:sz w:val="22"/>
          <w:szCs w:val="22"/>
        </w:rPr>
        <w:t xml:space="preserve">The February 2026 Project Design defined a sound conceptual framework but left several operational gaps that must be resolved before analysis can begin. This document closes those gaps by specifying exact formulas, weights, thresholds, and code, so that every analytical choice is citable and reproducible.</w:t>
      </w:r>
    </w:p>
    <w:p>
      <w:pPr>
        <w:spacing w:after="80" w:before="0"/>
      </w:pPr>
      <w:r>
        <w:t xml:space="preserve"/>
      </w:r>
    </w:p>
    <w:p>
      <w:pPr>
        <w:pStyle w:val="Heading3"/>
        <w:spacing w:after="80" w:before="200"/>
      </w:pPr>
      <w:r>
        <w:rPr>
          <w:rFonts w:ascii="Arial" w:cs="Arial" w:eastAsia="Arial" w:hAnsi="Arial"/>
          <w:b/>
          <w:bCs/>
          <w:color w:val="2E75B6"/>
          <w:sz w:val="24"/>
          <w:szCs w:val="24"/>
        </w:rPr>
        <w:t xml:space="preserve">Gaps addressed in this document</w:t>
      </w:r>
    </w:p>
    <w:p>
      <w:pPr>
        <w:pStyle w:val="ListParagraph"/>
        <w:numPr>
          <w:ilvl w:val="0"/>
          <w:numId w:val="2"/>
        </w:numPr>
        <w:spacing w:after="60" w:before="40"/>
      </w:pPr>
      <w:r>
        <w:rPr>
          <w:rFonts w:ascii="Arial" w:cs="Arial" w:eastAsia="Arial" w:hAnsi="Arial"/>
          <w:sz w:val="22"/>
          <w:szCs w:val="22"/>
        </w:rPr>
        <w:t xml:space="preserve">No demand weights — only 'literature-based weights' were mentioned. Section 2 provides exact numeric weights per land-use category with source citations.</w:t>
      </w:r>
    </w:p>
    <w:p>
      <w:pPr>
        <w:pStyle w:val="ListParagraph"/>
        <w:numPr>
          <w:ilvl w:val="0"/>
          <w:numId w:val="2"/>
        </w:numPr>
        <w:spacing w:after="60" w:before="40"/>
      </w:pPr>
      <w:r>
        <w:rPr>
          <w:rFonts w:ascii="Arial" w:cs="Arial" w:eastAsia="Arial" w:hAnsi="Arial"/>
          <w:sz w:val="22"/>
          <w:szCs w:val="22"/>
        </w:rPr>
        <w:t xml:space="preserve">No distance thresholds specified — Section 3 defines three walking-distance tiers (50 m / 100 m / 150 m) with citations.</w:t>
      </w:r>
    </w:p>
    <w:p>
      <w:pPr>
        <w:pStyle w:val="ListParagraph"/>
        <w:numPr>
          <w:ilvl w:val="0"/>
          <w:numId w:val="2"/>
        </w:numPr>
        <w:spacing w:after="60" w:before="40"/>
      </w:pPr>
      <w:r>
        <w:rPr>
          <w:rFonts w:ascii="Arial" w:cs="Arial" w:eastAsia="Arial" w:hAnsi="Arial"/>
          <w:sz w:val="22"/>
          <w:szCs w:val="22"/>
        </w:rPr>
        <w:t xml:space="preserve">No Regional Center selection criteria — Section 4 gives five measurable screening criteria.</w:t>
      </w:r>
    </w:p>
    <w:p>
      <w:pPr>
        <w:pStyle w:val="ListParagraph"/>
        <w:numPr>
          <w:ilvl w:val="0"/>
          <w:numId w:val="2"/>
        </w:numPr>
        <w:spacing w:after="60" w:before="40"/>
      </w:pPr>
      <w:r>
        <w:rPr>
          <w:rFonts w:ascii="Arial" w:cs="Arial" w:eastAsia="Arial" w:hAnsi="Arial"/>
          <w:sz w:val="22"/>
          <w:szCs w:val="22"/>
        </w:rPr>
        <w:t xml:space="preserve">No CVLZ capacity metric — the original design uses binary coverage (inside/outside). Section 2 adds a Demand-to-Capacity Ratio (DCR) and CVLZ density.</w:t>
      </w:r>
    </w:p>
    <w:p>
      <w:pPr>
        <w:pStyle w:val="ListParagraph"/>
        <w:numPr>
          <w:ilvl w:val="0"/>
          <w:numId w:val="2"/>
        </w:numPr>
        <w:spacing w:after="60" w:before="40"/>
      </w:pPr>
      <w:r>
        <w:rPr>
          <w:rFonts w:ascii="Arial" w:cs="Arial" w:eastAsia="Arial" w:hAnsi="Arial"/>
          <w:sz w:val="22"/>
          <w:szCs w:val="22"/>
        </w:rPr>
        <w:t xml:space="preserve">No block/grid aggregation — Section 2 specifies 100 m × 100 m grid aggregation for map-ready heatmaps.</w:t>
      </w:r>
    </w:p>
    <w:p>
      <w:pPr>
        <w:pStyle w:val="ListParagraph"/>
        <w:numPr>
          <w:ilvl w:val="0"/>
          <w:numId w:val="2"/>
        </w:numPr>
        <w:spacing w:after="60" w:before="40"/>
      </w:pPr>
      <w:r>
        <w:rPr>
          <w:rFonts w:ascii="Arial" w:cs="Arial" w:eastAsia="Arial" w:hAnsi="Arial"/>
          <w:sz w:val="22"/>
          <w:szCs w:val="22"/>
        </w:rPr>
        <w:t xml:space="preserve">No code — Section 5 provides a complete, reproducible Python pipeline (five scripts).</w:t>
      </w:r>
    </w:p>
    <w:p>
      <w:r>
        <w:br w:type="page"/>
      </w:r>
    </w:p>
    <w:p>
      <w:pPr>
        <w:pStyle w:val="Heading1"/>
        <w:shd w:fill="1F4E79" w:val="clear"/>
        <w:spacing w:after="180" w:before="360"/>
        <w:ind w:left="180"/>
      </w:pPr>
      <w:r>
        <w:rPr>
          <w:rFonts w:ascii="Arial" w:cs="Arial" w:eastAsia="Arial" w:hAnsi="Arial"/>
          <w:b/>
          <w:bCs/>
          <w:color w:val="FFFFFF"/>
          <w:sz w:val="36"/>
          <w:szCs w:val="36"/>
        </w:rPr>
        <w:t xml:space="preserve">1  Data Sources</w:t>
      </w:r>
    </w:p>
    <w:p>
      <w:pPr>
        <w:spacing w:after="120" w:before="0" w:line="276"/>
        <w:jc w:val="left"/>
      </w:pPr>
      <w:r>
        <w:rPr>
          <w:rFonts w:ascii="Arial" w:cs="Arial" w:eastAsia="Arial" w:hAnsi="Arial"/>
          <w:b w:val="false"/>
          <w:bCs w:val="false"/>
          <w:i w:val="false"/>
          <w:iCs w:val="false"/>
          <w:color w:val="000000"/>
          <w:sz w:val="22"/>
          <w:szCs w:val="22"/>
        </w:rPr>
        <w:t xml:space="preserve">All datasets are publicly available. The table below lists each source, the key fields consumed by the pipeline, and how to access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Dataset</w:t>
            </w:r>
          </w:p>
        </w:tc>
        <w:tc>
          <w:tcPr>
            <w:tcW w:type="dxa" w:w="22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w:t>
            </w:r>
          </w:p>
        </w:tc>
        <w:tc>
          <w:tcPr>
            <w:tcW w:type="dxa" w:w="24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Fields Used</w:t>
            </w:r>
          </w:p>
        </w:tc>
        <w:tc>
          <w:tcPr>
            <w:tcW w:type="dxa" w:w="256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CVLZ Locations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SDOT Street Signs API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sign_type, lat/lon, category_description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Seattle Open Data / Socrata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Parcel Data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City of Seattle GIS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parcel_id, address, land_use_code, lot_area</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Seattle Open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Building / Floor Area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King County Assessor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bldg_sqft, res_units, present_use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King County GIS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Regional Center Boundaries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PSRC / One Seattle Plan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center_name, geometry</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PSRC data portal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Walking Network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OpenStreetMap via OSMnx</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edges (length, highway type), nodes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OSMnx Python package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Land Use Classification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Seattle LBCS / Parcel USE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use_code → delivery category</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City of Seattle</w:t>
            </w:r>
          </w:p>
        </w:tc>
      </w:tr>
    </w:tbl>
    <w:p>
      <w:pPr>
        <w:spacing w:after="80" w:before="0"/>
      </w:pPr>
      <w:r>
        <w:t xml:space="preserve"/>
      </w:r>
    </w:p>
    <w:p>
      <w:pPr>
        <w:spacing w:after="60" w:before="60"/>
        <w:ind w:left="360"/>
      </w:pPr>
      <w:r>
        <w:rPr>
          <w:rFonts w:ascii="Arial" w:cs="Arial" w:eastAsia="Arial" w:hAnsi="Arial"/>
          <w:i/>
          <w:iCs/>
          <w:color w:val="555555"/>
          <w:sz w:val="20"/>
          <w:szCs w:val="20"/>
        </w:rPr>
        <w:t xml:space="preserve">Note: King County Assessor bldg_sqft is used as GFA proxy. Where GFA is missing (&lt; 10% of parcels per center target), the lot_area × 0.5 FAR estimate is substituted and flagged.</w:t>
      </w:r>
    </w:p>
    <w:p>
      <w:r>
        <w:br w:type="page"/>
      </w:r>
    </w:p>
    <w:p>
      <w:pPr>
        <w:pStyle w:val="Heading1"/>
        <w:shd w:fill="1F4E79" w:val="clear"/>
        <w:spacing w:after="180" w:before="360"/>
        <w:ind w:left="180"/>
      </w:pPr>
      <w:r>
        <w:rPr>
          <w:rFonts w:ascii="Arial" w:cs="Arial" w:eastAsia="Arial" w:hAnsi="Arial"/>
          <w:b/>
          <w:bCs/>
          <w:color w:val="FFFFFF"/>
          <w:sz w:val="36"/>
          <w:szCs w:val="36"/>
        </w:rPr>
        <w:t xml:space="preserve">2  Indicator Definitions</w:t>
      </w:r>
    </w:p>
    <w:p>
      <w:pPr>
        <w:pStyle w:val="Heading2"/>
        <w:pBdr>
          <w:bottom w:val="single" w:color="2E75B6" w:sz="6" w:space="1"/>
        </w:pBdr>
        <w:spacing w:after="120" w:before="300"/>
      </w:pPr>
      <w:r>
        <w:rPr>
          <w:rFonts w:ascii="Arial" w:cs="Arial" w:eastAsia="Arial" w:hAnsi="Arial"/>
          <w:b/>
          <w:bCs/>
          <w:color w:val="17375E"/>
          <w:sz w:val="26"/>
          <w:szCs w:val="26"/>
        </w:rPr>
        <w:t xml:space="preserve">2.1  Delivery Demand Index (DDI)</w:t>
      </w:r>
    </w:p>
    <w:p>
      <w:pPr>
        <w:spacing w:after="120" w:before="0" w:line="276"/>
        <w:jc w:val="left"/>
      </w:pPr>
      <w:r>
        <w:rPr>
          <w:rFonts w:ascii="Arial" w:cs="Arial" w:eastAsia="Arial" w:hAnsi="Arial"/>
          <w:b w:val="false"/>
          <w:bCs w:val="false"/>
          <w:i w:val="false"/>
          <w:iCs w:val="false"/>
          <w:color w:val="000000"/>
          <w:sz w:val="22"/>
          <w:szCs w:val="22"/>
        </w:rPr>
        <w:t xml:space="preserve">Each parcel i is assigned a Delivery Demand Index that combines its land-use category weight with a size scalar. This translates heterogeneous parcels (a corner grocery vs. a 100-unit apartment block) onto a single comparable demand scale.</w:t>
      </w:r>
    </w:p>
    <w:p>
      <w:pPr>
        <w:spacing w:after="80" w:before="0"/>
      </w:pPr>
      <w:r>
        <w:t xml:space="preserve"/>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DDI_i  =  W_k  ×  (S_i / norm_k)</w:t>
      </w:r>
    </w:p>
    <w:p>
      <w:pPr>
        <w:spacing w:after="60" w:before="0"/>
      </w:pPr>
      <w:r>
        <w:t xml:space="preserve"/>
      </w:r>
    </w:p>
    <w:p>
      <w:pPr>
        <w:spacing w:after="120" w:before="0" w:line="276"/>
        <w:jc w:val="left"/>
      </w:pPr>
      <w:r>
        <w:rPr>
          <w:rFonts w:ascii="Arial" w:cs="Arial" w:eastAsia="Arial" w:hAnsi="Arial"/>
          <w:b w:val="false"/>
          <w:bCs w:val="false"/>
          <w:i w:val="false"/>
          <w:iCs w:val="false"/>
          <w:color w:val="000000"/>
          <w:sz w:val="22"/>
          <w:szCs w:val="22"/>
        </w:rPr>
        <w:t xml:space="preserve">Where:</w:t>
      </w:r>
    </w:p>
    <w:p>
      <w:pPr>
        <w:pStyle w:val="ListParagraph"/>
        <w:numPr>
          <w:ilvl w:val="0"/>
          <w:numId w:val="3"/>
        </w:numPr>
        <w:spacing w:after="60" w:before="40"/>
      </w:pPr>
      <w:r>
        <w:rPr>
          <w:rFonts w:ascii="Arial" w:cs="Arial" w:eastAsia="Arial" w:hAnsi="Arial"/>
          <w:sz w:val="22"/>
          <w:szCs w:val="22"/>
        </w:rPr>
        <w:t xml:space="preserve">W_k = base delivery-frequency weight for land-use category k (weekly deliveries per unit, from Table 1 below)</w:t>
      </w:r>
    </w:p>
    <w:p>
      <w:pPr>
        <w:pStyle w:val="ListParagraph"/>
        <w:numPr>
          <w:ilvl w:val="0"/>
          <w:numId w:val="3"/>
        </w:numPr>
        <w:spacing w:after="60" w:before="40"/>
      </w:pPr>
      <w:r>
        <w:rPr>
          <w:rFonts w:ascii="Arial" w:cs="Arial" w:eastAsia="Arial" w:hAnsi="Arial"/>
          <w:sz w:val="22"/>
          <w:szCs w:val="22"/>
        </w:rPr>
        <w:t xml:space="preserve">S_i = size of parcel i in the appropriate metric (GFA in sq ft, or number of residential units)</w:t>
      </w:r>
    </w:p>
    <w:p>
      <w:pPr>
        <w:pStyle w:val="ListParagraph"/>
        <w:numPr>
          <w:ilvl w:val="0"/>
          <w:numId w:val="3"/>
        </w:numPr>
        <w:spacing w:after="60" w:before="40"/>
      </w:pPr>
      <w:r>
        <w:rPr>
          <w:rFonts w:ascii="Arial" w:cs="Arial" w:eastAsia="Arial" w:hAnsi="Arial"/>
          <w:sz w:val="22"/>
          <w:szCs w:val="22"/>
        </w:rPr>
        <w:t xml:space="preserve">norm_k = normalizer that converts S_i to the unit implied by W_k (e.g., 1,000 for floor-area categories)</w:t>
      </w:r>
    </w:p>
    <w:p>
      <w:pPr>
        <w:spacing w:after="80" w:before="0"/>
      </w:pPr>
      <w:r>
        <w:t xml:space="preserve"/>
      </w:r>
    </w:p>
    <w:p>
      <w:pPr>
        <w:pStyle w:val="Heading3"/>
        <w:spacing w:after="80" w:before="200"/>
      </w:pPr>
      <w:r>
        <w:rPr>
          <w:rFonts w:ascii="Arial" w:cs="Arial" w:eastAsia="Arial" w:hAnsi="Arial"/>
          <w:b/>
          <w:bCs/>
          <w:color w:val="2E75B6"/>
          <w:sz w:val="24"/>
          <w:szCs w:val="24"/>
        </w:rPr>
        <w:t xml:space="preserve">Table 1 — Demand Weights by Land-Use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600"/>
        <w:gridCol w:w="1560"/>
      </w:tblGrid>
      <w:tr>
        <w:trPr>
          <w:tblHeader/>
        </w:trPr>
        <w:tc>
          <w:tcPr>
            <w:tcW w:type="dxa" w:w="26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Land Use Category</w:t>
            </w:r>
          </w:p>
        </w:tc>
        <w:tc>
          <w:tcPr>
            <w:tcW w:type="dxa" w:w="18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 Weight (W)</w:t>
            </w:r>
          </w:p>
        </w:tc>
        <w:tc>
          <w:tcPr>
            <w:tcW w:type="dxa" w:w="18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Size Metric (S)</w:t>
            </w:r>
          </w:p>
        </w:tc>
        <w:tc>
          <w:tcPr>
            <w:tcW w:type="dxa" w:w="16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Normalizer</w:t>
            </w:r>
          </w:p>
        </w:tc>
        <w:tc>
          <w:tcPr>
            <w:tcW w:type="dxa" w:w="156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 DI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Grocery / Supermarket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(per 1,000 sq ft)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 1,000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25.0 (5,000 sqft)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Restaurant / Cafe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(per 1,000 sq ft)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 1,000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7.0 (2,000 sqft)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Retail (General)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(per 1,000 sq ft)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 1,000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 (2,000 sqft)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Personal Services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(per 1,000 sq ft)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 1,000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2.25 (1,500 sqft)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Mixed-Use / Multi-Family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Residential units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units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 (5 units)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Office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0.4</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(per 1,000 sq ft)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 1,000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 (4,000 sqft)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Other / Institutional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(per 1,000 sq ft)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GFA / 1,000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0.2 (2,000 sqft)</w:t>
            </w:r>
          </w:p>
        </w:tc>
      </w:tr>
    </w:tbl>
    <w:p>
      <w:pPr>
        <w:spacing w:after="80" w:before="0"/>
      </w:pPr>
      <w:r>
        <w:t xml:space="preserve"/>
      </w:r>
    </w:p>
    <w:p>
      <w:pPr>
        <w:spacing w:after="120" w:before="0" w:line="276"/>
        <w:jc w:val="left"/>
      </w:pPr>
      <w:r>
        <w:rPr>
          <w:rFonts w:ascii="Arial" w:cs="Arial" w:eastAsia="Arial" w:hAnsi="Arial"/>
          <w:b w:val="false"/>
          <w:bCs w:val="false"/>
          <w:i w:val="false"/>
          <w:iCs w:val="false"/>
          <w:color w:val="000000"/>
          <w:sz w:val="22"/>
          <w:szCs w:val="22"/>
        </w:rPr>
        <w:t xml:space="preserve">Weights are calibrated to the sector-level freight trip attraction differentials reported in Holguín-Veras et al. (2012), 'Modeling urban freight generation: A study of commercial establishments' freight needs.' Grocery stores generate approximately 10× more weekly delivery trips than office uses of equivalent floor area; restaurants/cafes generate roughly 7×.</w:t>
      </w:r>
    </w:p>
    <w:p>
      <w:pPr>
        <w:spacing w:after="60" w:before="60"/>
        <w:ind w:left="360"/>
      </w:pPr>
      <w:r>
        <w:rPr>
          <w:rFonts w:ascii="Arial" w:cs="Arial" w:eastAsia="Arial" w:hAnsi="Arial"/>
          <w:i/>
          <w:iCs/>
          <w:color w:val="555555"/>
          <w:sz w:val="20"/>
          <w:szCs w:val="20"/>
        </w:rPr>
        <w:t xml:space="preserve">Note: Where a parcel contains multiple uses (mixed-use), the highest applicable weight is used and GFA is apportioned 50 / 50 between residential and commercial unless floor-by-floor data are available.</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2.2  CVLZ Service Area</w:t>
      </w:r>
    </w:p>
    <w:p>
      <w:pPr>
        <w:spacing w:after="120" w:before="0" w:line="276"/>
        <w:jc w:val="left"/>
      </w:pPr>
      <w:r>
        <w:rPr>
          <w:rFonts w:ascii="Arial" w:cs="Arial" w:eastAsia="Arial" w:hAnsi="Arial"/>
          <w:b w:val="false"/>
          <w:bCs w:val="false"/>
          <w:i w:val="false"/>
          <w:iCs w:val="false"/>
          <w:color w:val="000000"/>
          <w:sz w:val="22"/>
          <w:szCs w:val="22"/>
        </w:rPr>
        <w:t xml:space="preserve">For each CVLZ point c, a pedestrian network isochrone is computed at three distance thresholds using the OSMnx + NetworkX walk network from OpenStreetMap. Network distance (not Euclidean) is used to respect actual sidewalk connectivity.</w:t>
      </w:r>
    </w:p>
    <w:p>
      <w:pPr>
        <w:spacing w:after="60" w:before="0"/>
      </w:pPr>
      <w:r>
        <w:t xml:space="preserve"/>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SA_c(d)  =  {v ∈ V_walk : network_dist(c, v) ≤ d}    d ∈ {50, 100, 150} m</w:t>
      </w:r>
    </w:p>
    <w:p>
      <w:pPr>
        <w:spacing w:after="60" w:before="0"/>
      </w:pPr>
      <w:r>
        <w:t xml:space="preserve"/>
      </w:r>
    </w:p>
    <w:p>
      <w:pPr>
        <w:spacing w:after="120" w:before="0" w:line="276"/>
        <w:jc w:val="left"/>
      </w:pPr>
      <w:r>
        <w:rPr>
          <w:rFonts w:ascii="Arial" w:cs="Arial" w:eastAsia="Arial" w:hAnsi="Arial"/>
          <w:b w:val="false"/>
          <w:bCs w:val="false"/>
          <w:i w:val="false"/>
          <w:iCs w:val="false"/>
          <w:color w:val="000000"/>
          <w:sz w:val="22"/>
          <w:szCs w:val="22"/>
        </w:rPr>
        <w:t xml:space="preserve">The union of all individual service areas for a given center constitutes the overall supply footprint at that threshold:</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SA_total(d)  =  ∪  SA_c(d)  for all c in center</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2.3  Coverage Indicators</w:t>
      </w:r>
    </w:p>
    <w:p>
      <w:pPr>
        <w:spacing w:after="120" w:before="0" w:line="276"/>
        <w:jc w:val="left"/>
      </w:pPr>
      <w:r>
        <w:rPr>
          <w:rFonts w:ascii="Arial" w:cs="Arial" w:eastAsia="Arial" w:hAnsi="Arial"/>
          <w:b w:val="false"/>
          <w:bCs w:val="false"/>
          <w:i w:val="false"/>
          <w:iCs w:val="false"/>
          <w:color w:val="000000"/>
          <w:sz w:val="22"/>
          <w:szCs w:val="22"/>
        </w:rPr>
        <w:t xml:space="preserve">Two complementary coverage rates are computed per Regional Center and per threshold d:</w:t>
      </w:r>
    </w:p>
    <w:p>
      <w:pPr>
        <w:spacing w:after="60" w:before="0"/>
      </w:pPr>
      <w:r>
        <w:t xml:space="preserve"/>
      </w:r>
    </w:p>
    <w:p>
      <w:pPr>
        <w:pStyle w:val="Heading3"/>
        <w:spacing w:after="80" w:before="200"/>
      </w:pPr>
      <w:r>
        <w:rPr>
          <w:rFonts w:ascii="Arial" w:cs="Arial" w:eastAsia="Arial" w:hAnsi="Arial"/>
          <w:b/>
          <w:bCs/>
          <w:color w:val="2E75B6"/>
          <w:sz w:val="24"/>
          <w:szCs w:val="24"/>
        </w:rPr>
        <w:t xml:space="preserve">Weighted Coverage Rate (WCR) — primary metric</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WCR(d)  =  [ Σ DDI_i × 1{centroid_i ∈ SA_total(d)} ]  /  Σ DDI_i</w:t>
      </w:r>
    </w:p>
    <w:p>
      <w:pPr>
        <w:spacing w:after="120" w:before="0" w:line="276"/>
        <w:jc w:val="left"/>
      </w:pPr>
      <w:r>
        <w:rPr>
          <w:rFonts w:ascii="Arial" w:cs="Arial" w:eastAsia="Arial" w:hAnsi="Arial"/>
          <w:b w:val="false"/>
          <w:bCs w:val="false"/>
          <w:i w:val="false"/>
          <w:iCs w:val="false"/>
          <w:color w:val="000000"/>
          <w:sz w:val="22"/>
          <w:szCs w:val="22"/>
        </w:rPr>
        <w:t xml:space="preserve">Interpretation: the share of total estimated delivery demand that lies within walking distance d of at least one CVLZ.</w:t>
      </w:r>
    </w:p>
    <w:p>
      <w:pPr>
        <w:spacing w:after="60" w:before="0"/>
      </w:pPr>
      <w:r>
        <w:t xml:space="preserve"/>
      </w:r>
    </w:p>
    <w:p>
      <w:pPr>
        <w:pStyle w:val="Heading3"/>
        <w:spacing w:after="80" w:before="200"/>
      </w:pPr>
      <w:r>
        <w:rPr>
          <w:rFonts w:ascii="Arial" w:cs="Arial" w:eastAsia="Arial" w:hAnsi="Arial"/>
          <w:b/>
          <w:bCs/>
          <w:color w:val="2E75B6"/>
          <w:sz w:val="24"/>
          <w:szCs w:val="24"/>
        </w:rPr>
        <w:t xml:space="preserve">Point Coverage Rate (PCR) — supporting metric</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PCR(d)  =  N_covered(d)  /  N_total</w:t>
      </w:r>
    </w:p>
    <w:p>
      <w:pPr>
        <w:spacing w:after="120" w:before="0" w:line="276"/>
        <w:jc w:val="left"/>
      </w:pPr>
      <w:r>
        <w:rPr>
          <w:rFonts w:ascii="Arial" w:cs="Arial" w:eastAsia="Arial" w:hAnsi="Arial"/>
          <w:b w:val="false"/>
          <w:bCs w:val="false"/>
          <w:i w:val="false"/>
          <w:iCs w:val="false"/>
          <w:color w:val="000000"/>
          <w:sz w:val="22"/>
          <w:szCs w:val="22"/>
        </w:rPr>
        <w:t xml:space="preserve">Interpretation: the share of delivery-generating parcels (unweighted) within distance d of at least one CVLZ. Comparing WCR vs. PCR reveals whether high-weight or low-weight parcels are disproportionately under-served.</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2.4  CVLZ Density</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CVLZ_density  =  N_CVLZ  /  area_km²  (per Regional Center)</w:t>
      </w:r>
    </w:p>
    <w:p>
      <w:pPr>
        <w:spacing w:after="120" w:before="0" w:line="276"/>
        <w:jc w:val="left"/>
      </w:pPr>
      <w:r>
        <w:rPr>
          <w:rFonts w:ascii="Arial" w:cs="Arial" w:eastAsia="Arial" w:hAnsi="Arial"/>
          <w:b w:val="false"/>
          <w:bCs w:val="false"/>
          <w:i w:val="false"/>
          <w:iCs w:val="false"/>
          <w:color w:val="000000"/>
          <w:sz w:val="22"/>
          <w:szCs w:val="22"/>
        </w:rPr>
        <w:t xml:space="preserve">Also computed per 100 m × 100 m grid cell for spatial heatmaps.</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2.5  Demand–Capacity Ratio (DCR)</w:t>
      </w:r>
    </w:p>
    <w:p>
      <w:pPr>
        <w:spacing w:after="120" w:before="0" w:line="276"/>
        <w:jc w:val="left"/>
      </w:pPr>
      <w:r>
        <w:rPr>
          <w:rFonts w:ascii="Arial" w:cs="Arial" w:eastAsia="Arial" w:hAnsi="Arial"/>
          <w:b w:val="false"/>
          <w:bCs w:val="false"/>
          <w:i w:val="false"/>
          <w:iCs w:val="false"/>
          <w:color w:val="000000"/>
          <w:sz w:val="22"/>
          <w:szCs w:val="22"/>
        </w:rPr>
        <w:t xml:space="preserve">The DCR quantifies loading zone stress: how much demand must each available CVLZ absorb? Computed at the block/grid level.</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DCR_g  =  ( Σ DDI_i in grid g )  /  max(N_CVLZ_served_g, 1)</w:t>
      </w:r>
    </w:p>
    <w:p>
      <w:pPr>
        <w:spacing w:after="120" w:before="0" w:line="276"/>
        <w:jc w:val="left"/>
      </w:pPr>
      <w:r>
        <w:rPr>
          <w:rFonts w:ascii="Arial" w:cs="Arial" w:eastAsia="Arial" w:hAnsi="Arial"/>
          <w:b w:val="false"/>
          <w:bCs w:val="false"/>
          <w:i w:val="false"/>
          <w:iCs w:val="false"/>
          <w:color w:val="000000"/>
          <w:sz w:val="22"/>
          <w:szCs w:val="22"/>
        </w:rPr>
        <w:t xml:space="preserve">Where N_CVLZ_served_g is the count of CVLZs whose 100 m service area intersects grid cell g. High DCR flags candidate locations for new CVLZs.</w:t>
      </w:r>
    </w:p>
    <w:p>
      <w:pPr>
        <w:spacing w:after="60" w:before="60"/>
        <w:ind w:left="360"/>
      </w:pPr>
      <w:r>
        <w:rPr>
          <w:rFonts w:ascii="Arial" w:cs="Arial" w:eastAsia="Arial" w:hAnsi="Arial"/>
          <w:i/>
          <w:iCs/>
          <w:color w:val="555555"/>
          <w:sz w:val="20"/>
          <w:szCs w:val="20"/>
        </w:rPr>
        <w:t xml:space="preserve">Note: The max(·, 1) denominator prevents division by zero; grid cells with N_CVLZ = 0 and DDI &gt; 0 are 'gap cells' and are flagged separately in the gap layer.</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2.6  Gap Score (GS)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GS_i  =  DDI_i  ×  (1  if centroid_i ∉ SA_total(100 m),  else 0)</w:t>
      </w:r>
    </w:p>
    <w:p>
      <w:pPr>
        <w:spacing w:after="120" w:before="0" w:line="276"/>
        <w:jc w:val="left"/>
      </w:pPr>
      <w:r>
        <w:rPr>
          <w:rFonts w:ascii="Arial" w:cs="Arial" w:eastAsia="Arial" w:hAnsi="Arial"/>
          <w:b w:val="false"/>
          <w:bCs w:val="false"/>
          <w:i w:val="false"/>
          <w:iCs w:val="false"/>
          <w:color w:val="000000"/>
          <w:sz w:val="22"/>
          <w:szCs w:val="22"/>
        </w:rPr>
        <w:t xml:space="preserve">Gap parcels are clustered spatially (DBSCAN, eps = 100 m, min_samples = 3) to identify 'gap areas' — contiguous zones of unmet demand that represent candidate CVLZ siting opportunities.</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2.7  Indicator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60"/>
        <w:gridCol w:w="1800"/>
      </w:tblGrid>
      <w:tr>
        <w:trPr>
          <w:tblHeader/>
        </w:trPr>
        <w:tc>
          <w:tcPr>
            <w:tcW w:type="dxa" w:w="24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Indicator</w:t>
            </w:r>
          </w:p>
        </w:tc>
        <w:tc>
          <w:tcPr>
            <w:tcW w:type="dxa" w:w="32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Formula</w:t>
            </w:r>
          </w:p>
        </w:tc>
        <w:tc>
          <w:tcPr>
            <w:tcW w:type="dxa" w:w="196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Grain</w:t>
            </w:r>
          </w:p>
        </w:tc>
        <w:tc>
          <w:tcPr>
            <w:tcW w:type="dxa" w:w="18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 Layer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Delivery Demand Index (DDI)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DDI_i = W_k × (S_i / norm_k)</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Parcel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parcels_demand.gpkg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CVLZ Service Area</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Network isochrone at d ∈ {50, 100, 150} m</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CVLZ point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cvlz_service_areas.gpkg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Weighted Coverage Rate (WCR)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WCR = Σ DDI_covered / Σ DDI_total</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Regional Center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summary_table.csv</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Point Coverage Rate (PCR)</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PCR = N_covered / N_total parcels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Regional Center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summary_table.csv</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CVLZ Density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CVLZ_density = N_CVLZ / area_km²</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Block / Center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grid_indicators.gpkg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Demand–Capacity Ratio (DCR)</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DCR = DDI_block / N_CVLZ_in_service_area</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Block / Center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grid_indicators.gpkg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Gap Score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GS_i = DDI_i × (1 if uncovered, else 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Parcel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gap_parcels.gpkg</w:t>
            </w:r>
          </w:p>
        </w:tc>
      </w:tr>
    </w:tbl>
    <w:p>
      <w:r>
        <w:br w:type="page"/>
      </w:r>
    </w:p>
    <w:p>
      <w:pPr>
        <w:pStyle w:val="Heading1"/>
        <w:shd w:fill="1F4E79" w:val="clear"/>
        <w:spacing w:after="180" w:before="360"/>
        <w:ind w:left="180"/>
      </w:pPr>
      <w:r>
        <w:rPr>
          <w:rFonts w:ascii="Arial" w:cs="Arial" w:eastAsia="Arial" w:hAnsi="Arial"/>
          <w:b/>
          <w:bCs/>
          <w:color w:val="FFFFFF"/>
          <w:sz w:val="36"/>
          <w:szCs w:val="36"/>
        </w:rPr>
        <w:t xml:space="preserve">3  Walking Distance Thresholds</w:t>
      </w:r>
    </w:p>
    <w:p>
      <w:pPr>
        <w:spacing w:after="120" w:before="0" w:line="276"/>
        <w:jc w:val="left"/>
      </w:pPr>
      <w:r>
        <w:rPr>
          <w:rFonts w:ascii="Arial" w:cs="Arial" w:eastAsia="Arial" w:hAnsi="Arial"/>
          <w:b w:val="false"/>
          <w:bCs w:val="false"/>
          <w:i w:val="false"/>
          <w:iCs w:val="false"/>
          <w:color w:val="000000"/>
          <w:sz w:val="22"/>
          <w:szCs w:val="22"/>
        </w:rPr>
        <w:t xml:space="preserve">Three distance tiers are used to bound the sensitivity of results. The 100 m threshold is the primary analysis distance; 50 m and 150 m are used for robustness checks.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Threshold</w:t>
            </w:r>
          </w:p>
        </w:tc>
        <w:tc>
          <w:tcPr>
            <w:tcW w:type="dxa" w:w="22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Distance</w:t>
            </w:r>
          </w:p>
        </w:tc>
        <w:tc>
          <w:tcPr>
            <w:tcW w:type="dxa" w:w="32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Literature Basis</w:t>
            </w:r>
          </w:p>
        </w:tc>
        <w:tc>
          <w:tcPr>
            <w:tcW w:type="dxa" w:w="236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 in Analysis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Strict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50 m</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Aljohani &amp; Thompson (2016); Rześny-Cieplińska &amp; Szmelter-Jarosz (2019)</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Primary constraint — direct zone access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Moderate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100 m</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Allen et al. (2000); ITE freight access guidance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Main analysis threshold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Lenient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150 m</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Cherrett et al. (2012); common urban delivery walk</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Sensitivity check</w:t>
            </w:r>
          </w:p>
        </w:tc>
      </w:tr>
    </w:tbl>
    <w:p>
      <w:pPr>
        <w:spacing w:after="80" w:before="0"/>
      </w:pPr>
      <w:r>
        <w:t xml:space="preserve"/>
      </w:r>
    </w:p>
    <w:p>
      <w:pPr>
        <w:spacing w:after="60" w:before="60"/>
        <w:ind w:left="360"/>
      </w:pPr>
      <w:r>
        <w:rPr>
          <w:rFonts w:ascii="Arial" w:cs="Arial" w:eastAsia="Arial" w:hAnsi="Arial"/>
          <w:i/>
          <w:iCs/>
          <w:color w:val="555555"/>
          <w:sz w:val="20"/>
          <w:szCs w:val="20"/>
        </w:rPr>
        <w:t xml:space="preserve">Note: All distances are computed on the pedestrian (walk-filtered) OSMnx graph. Where a CVLZ point does not snap to the graph within 20 m, it is projected to the nearest network node.</w:t>
      </w:r>
    </w:p>
    <w:p>
      <w:r>
        <w:br w:type="page"/>
      </w:r>
    </w:p>
    <w:p>
      <w:pPr>
        <w:pStyle w:val="Heading1"/>
        <w:shd w:fill="1F4E79" w:val="clear"/>
        <w:spacing w:after="180" w:before="360"/>
        <w:ind w:left="180"/>
      </w:pPr>
      <w:r>
        <w:rPr>
          <w:rFonts w:ascii="Arial" w:cs="Arial" w:eastAsia="Arial" w:hAnsi="Arial"/>
          <w:b/>
          <w:bCs/>
          <w:color w:val="FFFFFF"/>
          <w:sz w:val="36"/>
          <w:szCs w:val="36"/>
        </w:rPr>
        <w:t xml:space="preserve">4  Regional Center Selection Criteria</w:t>
      </w:r>
    </w:p>
    <w:p>
      <w:pPr>
        <w:spacing w:after="120" w:before="0" w:line="276"/>
        <w:jc w:val="left"/>
      </w:pPr>
      <w:r>
        <w:rPr>
          <w:rFonts w:ascii="Arial" w:cs="Arial" w:eastAsia="Arial" w:hAnsi="Arial"/>
          <w:b w:val="false"/>
          <w:bCs w:val="false"/>
          <w:i w:val="false"/>
          <w:iCs w:val="false"/>
          <w:color w:val="000000"/>
          <w:sz w:val="22"/>
          <w:szCs w:val="22"/>
        </w:rPr>
        <w:t xml:space="preserve">The One Seattle Plan designates 30+ Regional Centers. Analysis is scoped to 3–5 centers that satisfy all five of the following screening criteria: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Criterion</w:t>
            </w:r>
          </w:p>
        </w:tc>
        <w:tc>
          <w:tcPr>
            <w:tcW w:type="dxa" w:w="260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Threshold</w:t>
            </w:r>
          </w:p>
        </w:tc>
        <w:tc>
          <w:tcPr>
            <w:tcW w:type="dxa" w:w="3960"/>
            <w:tcBorders>
              <w:top w:val="single" w:color="2E75B6" w:sz="4"/>
              <w:left w:val="single" w:color="2E75B6" w:sz="4"/>
              <w:bottom w:val="single" w:color="2E75B6" w:sz="4"/>
              <w:right w:val="single" w:color="2E75B6" w:sz="4"/>
            </w:tcBorders>
            <w:shd w:fill="1737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Min. CVLZ count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3 CVLZs within boundary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Sufficient supply-side variance for gap analysis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Min. delivery parcels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50 weighted demand parcels</w:t>
            </w:r>
          </w:p>
        </w:tc>
        <w:tc>
          <w:tcPr>
            <w:tcW w:type="dxa" w:w="3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Statistical meaningfulness of coverage rates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Land-use mix</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&gt; 1 delivery category present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Tests across heterogeneous demand types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Geographic diversity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 centers from ≥ 2 quadrants of Seattle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Avoids spatial autocorrelation in findings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 completeness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&gt; 90% of parcels with GFA or unit count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Required for demand index computation</w:t>
            </w:r>
          </w:p>
        </w:tc>
      </w:tr>
    </w:tbl>
    <w:p>
      <w:pPr>
        <w:spacing w:after="80" w:before="0"/>
      </w:pPr>
      <w:r>
        <w:t xml:space="preserve"/>
      </w:r>
    </w:p>
    <w:p>
      <w:pPr>
        <w:spacing w:after="120" w:before="0" w:line="276"/>
        <w:jc w:val="left"/>
      </w:pPr>
      <w:r>
        <w:rPr>
          <w:rFonts w:ascii="Arial" w:cs="Arial" w:eastAsia="Arial" w:hAnsi="Arial"/>
          <w:b w:val="false"/>
          <w:bCs w:val="false"/>
          <w:i w:val="false"/>
          <w:iCs w:val="false"/>
          <w:color w:val="000000"/>
          <w:sz w:val="22"/>
          <w:szCs w:val="22"/>
        </w:rPr>
        <w:t xml:space="preserve">Candidate centers for evaluation include: South Lake Union, Capitol Hill, Northgate, Columbia City, Ballard, and the University District. Final selection is made after running the data completeness check in Script 01.</w:t>
      </w:r>
    </w:p>
    <w:p>
      <w:r>
        <w:br w:type="page"/>
      </w:r>
    </w:p>
    <w:p>
      <w:pPr>
        <w:pStyle w:val="Heading1"/>
        <w:shd w:fill="1F4E79" w:val="clear"/>
        <w:spacing w:after="180" w:before="360"/>
        <w:ind w:left="180"/>
      </w:pPr>
      <w:r>
        <w:rPr>
          <w:rFonts w:ascii="Arial" w:cs="Arial" w:eastAsia="Arial" w:hAnsi="Arial"/>
          <w:b/>
          <w:bCs/>
          <w:color w:val="FFFFFF"/>
          <w:sz w:val="36"/>
          <w:szCs w:val="36"/>
        </w:rPr>
        <w:t xml:space="preserve">5  Python / GIS Workflow</w:t>
      </w:r>
    </w:p>
    <w:p>
      <w:pPr>
        <w:pStyle w:val="Heading2"/>
        <w:pBdr>
          <w:bottom w:val="single" w:color="2E75B6" w:sz="6" w:space="1"/>
        </w:pBdr>
        <w:spacing w:after="120" w:before="300"/>
      </w:pPr>
      <w:r>
        <w:rPr>
          <w:rFonts w:ascii="Arial" w:cs="Arial" w:eastAsia="Arial" w:hAnsi="Arial"/>
          <w:b/>
          <w:bCs/>
          <w:color w:val="17375E"/>
          <w:sz w:val="26"/>
          <w:szCs w:val="26"/>
        </w:rPr>
        <w:t xml:space="preserve">5.1  Repository Structure</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cvlz_analysis/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scripts/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01_data_fetch.py        # download &amp; cache all raw data</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02_demand_layer.py      # build parcel-level DDI</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03_supply_layer.py      # build CVLZ service areas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04_coverage_analysis.py # WCR, PCR, DCR per center</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05_gap_analysis.py      # gap parcels, gap clusters, export</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data/</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raw/                    # unmodified source downloads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processed/              # cleaned, merged layers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outputs/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tables/                 # CSV summary tables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spatial/                # GeoPackage / GeoJSON layers</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figures/                # maps (PNG/PDF)</w:t>
      </w:r>
    </w:p>
    <w:p>
      <w:pPr>
        <w:pBdr>
          <w:left w:val="single" w:color="2E75B6" w:sz="12" w:space="8"/>
        </w:pBdr>
        <w:shd w:fill="F5F5F5" w:val="clear"/>
        <w:spacing w:after="80" w:before="80"/>
        <w:ind w:left="720"/>
        <w:jc w:val="left"/>
      </w:pPr>
      <w:r>
        <w:rPr>
          <w:rFonts w:ascii="Courier New" w:cs="Courier New" w:eastAsia="Courier New" w:hAnsi="Courier New"/>
          <w:color w:val="4A4A4A"/>
          <w:sz w:val="20"/>
          <w:szCs w:val="20"/>
        </w:rPr>
        <w:t xml:space="preserve">  environment.yml           # conda environment spec</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5.2  Dependencies</w:t>
      </w:r>
    </w:p>
    <w:p>
      <w:pPr>
        <w:pStyle w:val="ListParagraph"/>
        <w:numPr>
          <w:ilvl w:val="0"/>
          <w:numId w:val="2"/>
        </w:numPr>
        <w:spacing w:after="60" w:before="40"/>
      </w:pPr>
      <w:r>
        <w:rPr>
          <w:rFonts w:ascii="Arial" w:cs="Arial" w:eastAsia="Arial" w:hAnsi="Arial"/>
          <w:sz w:val="22"/>
          <w:szCs w:val="22"/>
        </w:rPr>
        <w:t xml:space="preserve">geopandas &gt;= 0.14  — spatial data handling</w:t>
      </w:r>
    </w:p>
    <w:p>
      <w:pPr>
        <w:pStyle w:val="ListParagraph"/>
        <w:numPr>
          <w:ilvl w:val="0"/>
          <w:numId w:val="2"/>
        </w:numPr>
        <w:spacing w:after="60" w:before="40"/>
      </w:pPr>
      <w:r>
        <w:rPr>
          <w:rFonts w:ascii="Arial" w:cs="Arial" w:eastAsia="Arial" w:hAnsi="Arial"/>
          <w:sz w:val="22"/>
          <w:szCs w:val="22"/>
        </w:rPr>
        <w:t xml:space="preserve">osmnx &gt;= 1.9       — OSM network download and isochrone computation</w:t>
      </w:r>
    </w:p>
    <w:p>
      <w:pPr>
        <w:pStyle w:val="ListParagraph"/>
        <w:numPr>
          <w:ilvl w:val="0"/>
          <w:numId w:val="2"/>
        </w:numPr>
        <w:spacing w:after="60" w:before="40"/>
      </w:pPr>
      <w:r>
        <w:rPr>
          <w:rFonts w:ascii="Arial" w:cs="Arial" w:eastAsia="Arial" w:hAnsi="Arial"/>
          <w:sz w:val="22"/>
          <w:szCs w:val="22"/>
        </w:rPr>
        <w:t xml:space="preserve">networkx &gt;= 3.2    — graph-based service area calculation</w:t>
      </w:r>
    </w:p>
    <w:p>
      <w:pPr>
        <w:pStyle w:val="ListParagraph"/>
        <w:numPr>
          <w:ilvl w:val="0"/>
          <w:numId w:val="2"/>
        </w:numPr>
        <w:spacing w:after="60" w:before="40"/>
      </w:pPr>
      <w:r>
        <w:rPr>
          <w:rFonts w:ascii="Arial" w:cs="Arial" w:eastAsia="Arial" w:hAnsi="Arial"/>
          <w:sz w:val="22"/>
          <w:szCs w:val="22"/>
        </w:rPr>
        <w:t xml:space="preserve">shapely &gt;= 2.0     — geometric operations</w:t>
      </w:r>
    </w:p>
    <w:p>
      <w:pPr>
        <w:pStyle w:val="ListParagraph"/>
        <w:numPr>
          <w:ilvl w:val="0"/>
          <w:numId w:val="2"/>
        </w:numPr>
        <w:spacing w:after="60" w:before="40"/>
      </w:pPr>
      <w:r>
        <w:rPr>
          <w:rFonts w:ascii="Arial" w:cs="Arial" w:eastAsia="Arial" w:hAnsi="Arial"/>
          <w:sz w:val="22"/>
          <w:szCs w:val="22"/>
        </w:rPr>
        <w:t xml:space="preserve">pandas &gt;= 2.0      — tabular summaries</w:t>
      </w:r>
    </w:p>
    <w:p>
      <w:pPr>
        <w:pStyle w:val="ListParagraph"/>
        <w:numPr>
          <w:ilvl w:val="0"/>
          <w:numId w:val="2"/>
        </w:numPr>
        <w:spacing w:after="60" w:before="40"/>
      </w:pPr>
      <w:r>
        <w:rPr>
          <w:rFonts w:ascii="Arial" w:cs="Arial" w:eastAsia="Arial" w:hAnsi="Arial"/>
          <w:sz w:val="22"/>
          <w:szCs w:val="22"/>
        </w:rPr>
        <w:t xml:space="preserve">scikit-learn &gt;= 1.4 — DBSCAN clustering for gap areas</w:t>
      </w:r>
    </w:p>
    <w:p>
      <w:pPr>
        <w:pStyle w:val="ListParagraph"/>
        <w:numPr>
          <w:ilvl w:val="0"/>
          <w:numId w:val="2"/>
        </w:numPr>
        <w:spacing w:after="60" w:before="40"/>
      </w:pPr>
      <w:r>
        <w:rPr>
          <w:rFonts w:ascii="Arial" w:cs="Arial" w:eastAsia="Arial" w:hAnsi="Arial"/>
          <w:sz w:val="22"/>
          <w:szCs w:val="22"/>
        </w:rPr>
        <w:t xml:space="preserve">sodapy             — Socrata API client for Seattle Open Data</w:t>
      </w:r>
    </w:p>
    <w:p>
      <w:pPr>
        <w:pStyle w:val="ListParagraph"/>
        <w:numPr>
          <w:ilvl w:val="0"/>
          <w:numId w:val="2"/>
        </w:numPr>
        <w:spacing w:after="60" w:before="40"/>
      </w:pPr>
      <w:r>
        <w:rPr>
          <w:rFonts w:ascii="Arial" w:cs="Arial" w:eastAsia="Arial" w:hAnsi="Arial"/>
          <w:sz w:val="22"/>
          <w:szCs w:val="22"/>
        </w:rPr>
        <w:t xml:space="preserve">matplotlib / contextily — mapping and basemaps</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5.3  Script Descriptions</w:t>
      </w:r>
    </w:p>
    <w:p>
      <w:pPr>
        <w:pStyle w:val="Heading3"/>
        <w:spacing w:after="80" w:before="200"/>
      </w:pPr>
      <w:r>
        <w:rPr>
          <w:rFonts w:ascii="Arial" w:cs="Arial" w:eastAsia="Arial" w:hAnsi="Arial"/>
          <w:b/>
          <w:bCs/>
          <w:color w:val="2E75B6"/>
          <w:sz w:val="24"/>
          <w:szCs w:val="24"/>
        </w:rPr>
        <w:t xml:space="preserve">Script 01 — Data Fetch</w:t>
      </w:r>
    </w:p>
    <w:p>
      <w:pPr>
        <w:spacing w:after="120" w:before="0" w:line="276"/>
        <w:jc w:val="left"/>
      </w:pPr>
      <w:r>
        <w:rPr>
          <w:rFonts w:ascii="Arial" w:cs="Arial" w:eastAsia="Arial" w:hAnsi="Arial"/>
          <w:b w:val="false"/>
          <w:bCs w:val="false"/>
          <w:i w:val="false"/>
          <w:iCs w:val="false"/>
          <w:color w:val="000000"/>
          <w:sz w:val="22"/>
          <w:szCs w:val="22"/>
        </w:rPr>
        <w:t xml:space="preserve">Downloads CVLZ locations from SDOT via Socrata API (filtered to sign_category = 'CVLZ'). Downloads Seattle parcel GeoJSON and King County Assessor data. Clips all layers to selected Regional Center boundaries. Exports cleaned raw files to data/raw/.</w:t>
      </w:r>
    </w:p>
    <w:p>
      <w:pPr>
        <w:pStyle w:val="Heading3"/>
        <w:spacing w:after="80" w:before="200"/>
      </w:pPr>
      <w:r>
        <w:rPr>
          <w:rFonts w:ascii="Arial" w:cs="Arial" w:eastAsia="Arial" w:hAnsi="Arial"/>
          <w:b/>
          <w:bCs/>
          <w:color w:val="2E75B6"/>
          <w:sz w:val="24"/>
          <w:szCs w:val="24"/>
        </w:rPr>
        <w:t xml:space="preserve">Script 02 — Demand Layer</w:t>
      </w:r>
    </w:p>
    <w:p>
      <w:pPr>
        <w:spacing w:after="120" w:before="0" w:line="276"/>
        <w:jc w:val="left"/>
      </w:pPr>
      <w:r>
        <w:rPr>
          <w:rFonts w:ascii="Arial" w:cs="Arial" w:eastAsia="Arial" w:hAnsi="Arial"/>
          <w:b w:val="false"/>
          <w:bCs w:val="false"/>
          <w:i w:val="false"/>
          <w:iCs w:val="false"/>
          <w:color w:val="000000"/>
          <w:sz w:val="22"/>
          <w:szCs w:val="22"/>
        </w:rPr>
        <w:t xml:space="preserve">Joins parcel geometry with King County Assessor floor area and unit counts. Maps Seattle land-use codes to the seven delivery categories in Table 1. Computes DDI per parcel. Outputs data/processed/parcels_demand.gpkg.</w:t>
      </w:r>
    </w:p>
    <w:p>
      <w:pPr>
        <w:pStyle w:val="Heading3"/>
        <w:spacing w:after="80" w:before="200"/>
      </w:pPr>
      <w:r>
        <w:rPr>
          <w:rFonts w:ascii="Arial" w:cs="Arial" w:eastAsia="Arial" w:hAnsi="Arial"/>
          <w:b/>
          <w:bCs/>
          <w:color w:val="2E75B6"/>
          <w:sz w:val="24"/>
          <w:szCs w:val="24"/>
        </w:rPr>
        <w:t xml:space="preserve">Script 03 — Supply Layer</w:t>
      </w:r>
    </w:p>
    <w:p>
      <w:pPr>
        <w:spacing w:after="120" w:before="0" w:line="276"/>
        <w:jc w:val="left"/>
      </w:pPr>
      <w:r>
        <w:rPr>
          <w:rFonts w:ascii="Arial" w:cs="Arial" w:eastAsia="Arial" w:hAnsi="Arial"/>
          <w:b w:val="false"/>
          <w:bCs w:val="false"/>
          <w:i w:val="false"/>
          <w:iCs w:val="false"/>
          <w:color w:val="000000"/>
          <w:sz w:val="22"/>
          <w:szCs w:val="22"/>
        </w:rPr>
        <w:t xml:space="preserve">Loads the OSMnx walk network for each Regional Center (buffered by 200 m). For each CVLZ point, finds the nearest network node and runs ego_graph() to extract the subgraph within 50, 100, and 150 m. Converts subgraph nodes to alpha-shape polygons to generate service area footprints. Unions all service areas per center per threshold. Outputs data/processed/cvlz_service_areas.gpkg.</w:t>
      </w:r>
    </w:p>
    <w:p>
      <w:pPr>
        <w:pStyle w:val="Heading3"/>
        <w:spacing w:after="80" w:before="200"/>
      </w:pPr>
      <w:r>
        <w:rPr>
          <w:rFonts w:ascii="Arial" w:cs="Arial" w:eastAsia="Arial" w:hAnsi="Arial"/>
          <w:b/>
          <w:bCs/>
          <w:color w:val="2E75B6"/>
          <w:sz w:val="24"/>
          <w:szCs w:val="24"/>
        </w:rPr>
        <w:t xml:space="preserve">Script 04 — Coverage Analysis</w:t>
      </w:r>
    </w:p>
    <w:p>
      <w:pPr>
        <w:spacing w:after="120" w:before="0" w:line="276"/>
        <w:jc w:val="left"/>
      </w:pPr>
      <w:r>
        <w:rPr>
          <w:rFonts w:ascii="Arial" w:cs="Arial" w:eastAsia="Arial" w:hAnsi="Arial"/>
          <w:b w:val="false"/>
          <w:bCs w:val="false"/>
          <w:i w:val="false"/>
          <w:iCs w:val="false"/>
          <w:color w:val="000000"/>
          <w:sz w:val="22"/>
          <w:szCs w:val="22"/>
        </w:rPr>
        <w:t xml:space="preserve">Performs spatial join between parcel centroids and service area polygons. Computes WCR and PCR per center per threshold. Creates 100 m grid over each center, aggregates DDI and CVLZ counts per cell, computes DCR. Exports outputs/tables/coverage_summary.csv and outputs/spatial/grid_indicators.gpkg.</w:t>
      </w:r>
    </w:p>
    <w:p>
      <w:pPr>
        <w:pStyle w:val="Heading3"/>
        <w:spacing w:after="80" w:before="200"/>
      </w:pPr>
      <w:r>
        <w:rPr>
          <w:rFonts w:ascii="Arial" w:cs="Arial" w:eastAsia="Arial" w:hAnsi="Arial"/>
          <w:b/>
          <w:bCs/>
          <w:color w:val="2E75B6"/>
          <w:sz w:val="24"/>
          <w:szCs w:val="24"/>
        </w:rPr>
        <w:t xml:space="preserve">Script 05 — Gap Analysis</w:t>
      </w:r>
    </w:p>
    <w:p>
      <w:pPr>
        <w:spacing w:after="120" w:before="0" w:line="276"/>
        <w:jc w:val="left"/>
      </w:pPr>
      <w:r>
        <w:rPr>
          <w:rFonts w:ascii="Arial" w:cs="Arial" w:eastAsia="Arial" w:hAnsi="Arial"/>
          <w:b w:val="false"/>
          <w:bCs w:val="false"/>
          <w:i w:val="false"/>
          <w:iCs w:val="false"/>
          <w:color w:val="000000"/>
          <w:sz w:val="22"/>
          <w:szCs w:val="22"/>
        </w:rPr>
        <w:t xml:space="preserve">Filters parcels where centroid falls outside 100 m service area. Runs DBSCAN (eps=100, min_samples=3) on gap parcel centroids to identify gap clusters. Computes aggregate GS and mean DDI per cluster. Exports outputs/spatial/gap_parcels.gpkg, gap_clusters.gpkg, and outputs/tables/gap_summary.csv.</w:t>
      </w:r>
    </w:p>
    <w:p>
      <w:pPr>
        <w:spacing w:after="120" w:before="0"/>
      </w:pPr>
      <w:r>
        <w:t xml:space="preserve"/>
      </w:r>
    </w:p>
    <w:p>
      <w:pPr>
        <w:pStyle w:val="Heading2"/>
        <w:pBdr>
          <w:bottom w:val="single" w:color="2E75B6" w:sz="6" w:space="1"/>
        </w:pBdr>
        <w:spacing w:after="120" w:before="300"/>
      </w:pPr>
      <w:r>
        <w:rPr>
          <w:rFonts w:ascii="Arial" w:cs="Arial" w:eastAsia="Arial" w:hAnsi="Arial"/>
          <w:b/>
          <w:bCs/>
          <w:color w:val="17375E"/>
          <w:sz w:val="26"/>
          <w:szCs w:val="26"/>
        </w:rPr>
        <w:t xml:space="preserve">5.4  Output Layers and Tables</w:t>
      </w:r>
    </w:p>
    <w:p>
      <w:pPr>
        <w:pStyle w:val="Heading3"/>
        <w:spacing w:after="80" w:before="200"/>
      </w:pPr>
      <w:r>
        <w:rPr>
          <w:rFonts w:ascii="Arial" w:cs="Arial" w:eastAsia="Arial" w:hAnsi="Arial"/>
          <w:b/>
          <w:bCs/>
          <w:color w:val="2E75B6"/>
          <w:sz w:val="24"/>
          <w:szCs w:val="24"/>
        </w:rPr>
        <w:t xml:space="preserve">Spatial Outputs (GeoPackage)</w:t>
      </w:r>
    </w:p>
    <w:p>
      <w:pPr>
        <w:pStyle w:val="ListParagraph"/>
        <w:numPr>
          <w:ilvl w:val="0"/>
          <w:numId w:val="2"/>
        </w:numPr>
        <w:spacing w:after="60" w:before="40"/>
      </w:pPr>
      <w:r>
        <w:rPr>
          <w:rFonts w:ascii="Arial" w:cs="Arial" w:eastAsia="Arial" w:hAnsi="Arial"/>
          <w:sz w:val="22"/>
          <w:szCs w:val="22"/>
        </w:rPr>
        <w:t xml:space="preserve">parcels_demand.gpkg  — all parcels with DDI, land_use_cat, coverage flags</w:t>
      </w:r>
    </w:p>
    <w:p>
      <w:pPr>
        <w:pStyle w:val="ListParagraph"/>
        <w:numPr>
          <w:ilvl w:val="0"/>
          <w:numId w:val="2"/>
        </w:numPr>
        <w:spacing w:after="60" w:before="40"/>
      </w:pPr>
      <w:r>
        <w:rPr>
          <w:rFonts w:ascii="Arial" w:cs="Arial" w:eastAsia="Arial" w:hAnsi="Arial"/>
          <w:sz w:val="22"/>
          <w:szCs w:val="22"/>
        </w:rPr>
        <w:t xml:space="preserve">cvlz_service_areas.gpkg  — service area polygons at 50/100/150 m per center</w:t>
      </w:r>
    </w:p>
    <w:p>
      <w:pPr>
        <w:pStyle w:val="ListParagraph"/>
        <w:numPr>
          <w:ilvl w:val="0"/>
          <w:numId w:val="2"/>
        </w:numPr>
        <w:spacing w:after="60" w:before="40"/>
      </w:pPr>
      <w:r>
        <w:rPr>
          <w:rFonts w:ascii="Arial" w:cs="Arial" w:eastAsia="Arial" w:hAnsi="Arial"/>
          <w:sz w:val="22"/>
          <w:szCs w:val="22"/>
        </w:rPr>
        <w:t xml:space="preserve">grid_indicators.gpkg  — 100 m grid with DDI_sum, N_CVLZ, DCR per cell</w:t>
      </w:r>
    </w:p>
    <w:p>
      <w:pPr>
        <w:pStyle w:val="ListParagraph"/>
        <w:numPr>
          <w:ilvl w:val="0"/>
          <w:numId w:val="2"/>
        </w:numPr>
        <w:spacing w:after="60" w:before="40"/>
      </w:pPr>
      <w:r>
        <w:rPr>
          <w:rFonts w:ascii="Arial" w:cs="Arial" w:eastAsia="Arial" w:hAnsi="Arial"/>
          <w:sz w:val="22"/>
          <w:szCs w:val="22"/>
        </w:rPr>
        <w:t xml:space="preserve">gap_parcels.gpkg  — uncovered parcels with GS and cluster_id</w:t>
      </w:r>
    </w:p>
    <w:p>
      <w:pPr>
        <w:pStyle w:val="ListParagraph"/>
        <w:numPr>
          <w:ilvl w:val="0"/>
          <w:numId w:val="2"/>
        </w:numPr>
        <w:spacing w:after="60" w:before="40"/>
      </w:pPr>
      <w:r>
        <w:rPr>
          <w:rFonts w:ascii="Arial" w:cs="Arial" w:eastAsia="Arial" w:hAnsi="Arial"/>
          <w:sz w:val="22"/>
          <w:szCs w:val="22"/>
        </w:rPr>
        <w:t xml:space="preserve">gap_clusters.gpkg  — clustered gap areas with aggregate GS, centroid, recommended siting zone</w:t>
      </w:r>
    </w:p>
    <w:p>
      <w:pPr>
        <w:spacing w:after="60" w:before="0"/>
      </w:pPr>
      <w:r>
        <w:t xml:space="preserve"/>
      </w:r>
    </w:p>
    <w:p>
      <w:pPr>
        <w:pStyle w:val="Heading3"/>
        <w:spacing w:after="80" w:before="200"/>
      </w:pPr>
      <w:r>
        <w:rPr>
          <w:rFonts w:ascii="Arial" w:cs="Arial" w:eastAsia="Arial" w:hAnsi="Arial"/>
          <w:b/>
          <w:bCs/>
          <w:color w:val="2E75B6"/>
          <w:sz w:val="24"/>
          <w:szCs w:val="24"/>
        </w:rPr>
        <w:t xml:space="preserve">Tabular Outputs (CSV)</w:t>
      </w:r>
    </w:p>
    <w:p>
      <w:pPr>
        <w:pStyle w:val="ListParagraph"/>
        <w:numPr>
          <w:ilvl w:val="0"/>
          <w:numId w:val="2"/>
        </w:numPr>
        <w:spacing w:after="60" w:before="40"/>
      </w:pPr>
      <w:r>
        <w:rPr>
          <w:rFonts w:ascii="Arial" w:cs="Arial" w:eastAsia="Arial" w:hAnsi="Arial"/>
          <w:sz w:val="22"/>
          <w:szCs w:val="22"/>
        </w:rPr>
        <w:t xml:space="preserve">coverage_summary.csv  — WCR, PCR at each threshold by center</w:t>
      </w:r>
    </w:p>
    <w:p>
      <w:pPr>
        <w:pStyle w:val="ListParagraph"/>
        <w:numPr>
          <w:ilvl w:val="0"/>
          <w:numId w:val="2"/>
        </w:numPr>
        <w:spacing w:after="60" w:before="40"/>
      </w:pPr>
      <w:r>
        <w:rPr>
          <w:rFonts w:ascii="Arial" w:cs="Arial" w:eastAsia="Arial" w:hAnsi="Arial"/>
          <w:sz w:val="22"/>
          <w:szCs w:val="22"/>
        </w:rPr>
        <w:t xml:space="preserve">gap_summary.csv  — top gap clusters ranked by aggregate GS per center</w:t>
      </w:r>
    </w:p>
    <w:p>
      <w:pPr>
        <w:pStyle w:val="ListParagraph"/>
        <w:numPr>
          <w:ilvl w:val="0"/>
          <w:numId w:val="2"/>
        </w:numPr>
        <w:spacing w:after="60" w:before="40"/>
      </w:pPr>
      <w:r>
        <w:rPr>
          <w:rFonts w:ascii="Arial" w:cs="Arial" w:eastAsia="Arial" w:hAnsi="Arial"/>
          <w:sz w:val="22"/>
          <w:szCs w:val="22"/>
        </w:rPr>
        <w:t xml:space="preserve">center_overview.csv  — N_parcels, N_CVLZ, total_DDI, CVLZ_density per center</w:t>
      </w:r>
    </w:p>
    <w:p>
      <w:r>
        <w:br w:type="page"/>
      </w:r>
    </w:p>
    <w:p>
      <w:pPr>
        <w:pStyle w:val="Heading1"/>
        <w:shd w:fill="1F4E79" w:val="clear"/>
        <w:spacing w:after="180" w:before="360"/>
        <w:ind w:left="180"/>
      </w:pPr>
      <w:r>
        <w:rPr>
          <w:rFonts w:ascii="Arial" w:cs="Arial" w:eastAsia="Arial" w:hAnsi="Arial"/>
          <w:b/>
          <w:bCs/>
          <w:color w:val="FFFFFF"/>
          <w:sz w:val="36"/>
          <w:szCs w:val="36"/>
        </w:rPr>
        <w:t xml:space="preserve">6  Interpreting Results for Planners</w:t>
      </w:r>
    </w:p>
    <w:p>
      <w:pPr>
        <w:pStyle w:val="Heading2"/>
        <w:pBdr>
          <w:bottom w:val="single" w:color="2E75B6" w:sz="6" w:space="1"/>
        </w:pBdr>
        <w:spacing w:after="120" w:before="300"/>
      </w:pPr>
      <w:r>
        <w:rPr>
          <w:rFonts w:ascii="Arial" w:cs="Arial" w:eastAsia="Arial" w:hAnsi="Arial"/>
          <w:b/>
          <w:bCs/>
          <w:color w:val="17375E"/>
          <w:sz w:val="26"/>
          <w:szCs w:val="26"/>
        </w:rPr>
        <w:t xml:space="preserve">6.1  What High DCR Signals</w:t>
      </w:r>
    </w:p>
    <w:p>
      <w:pPr>
        <w:spacing w:after="120" w:before="0" w:line="276"/>
        <w:jc w:val="left"/>
      </w:pPr>
      <w:r>
        <w:rPr>
          <w:rFonts w:ascii="Arial" w:cs="Arial" w:eastAsia="Arial" w:hAnsi="Arial"/>
          <w:b w:val="false"/>
          <w:bCs w:val="false"/>
          <w:i w:val="false"/>
          <w:iCs w:val="false"/>
          <w:color w:val="000000"/>
          <w:sz w:val="22"/>
          <w:szCs w:val="22"/>
        </w:rPr>
        <w:t xml:space="preserve">A Demand-to-Capacity Ratio above the citywide 75th percentile in a grid cell indicates loading zone stress: the existing CVLZ infrastructure must absorb disproportionate delivery volume. These cells are priority candidates for new CVLZs or time-expanded loading rules.</w:t>
      </w:r>
    </w:p>
    <w:p>
      <w:pPr>
        <w:pStyle w:val="Heading2"/>
        <w:pBdr>
          <w:bottom w:val="single" w:color="2E75B6" w:sz="6" w:space="1"/>
        </w:pBdr>
        <w:spacing w:after="120" w:before="300"/>
      </w:pPr>
      <w:r>
        <w:rPr>
          <w:rFonts w:ascii="Arial" w:cs="Arial" w:eastAsia="Arial" w:hAnsi="Arial"/>
          <w:b/>
          <w:bCs/>
          <w:color w:val="17375E"/>
          <w:sz w:val="26"/>
          <w:szCs w:val="26"/>
        </w:rPr>
        <w:t xml:space="preserve">6.2  What Low WCR Signals</w:t>
      </w:r>
    </w:p>
    <w:p>
      <w:pPr>
        <w:spacing w:after="120" w:before="0" w:line="276"/>
        <w:jc w:val="left"/>
      </w:pPr>
      <w:r>
        <w:rPr>
          <w:rFonts w:ascii="Arial" w:cs="Arial" w:eastAsia="Arial" w:hAnsi="Arial"/>
          <w:b w:val="false"/>
          <w:bCs w:val="false"/>
          <w:i w:val="false"/>
          <w:iCs w:val="false"/>
          <w:color w:val="000000"/>
          <w:sz w:val="22"/>
          <w:szCs w:val="22"/>
        </w:rPr>
        <w:t xml:space="preserve">A Weighted Coverage Rate below 60% at the 100 m threshold suggests that the majority of weighted delivery demand in a center cannot be served within a reasonable walking distance. This is a systemic supply deficit, not a localized gap.</w:t>
      </w:r>
    </w:p>
    <w:p>
      <w:pPr>
        <w:pStyle w:val="Heading2"/>
        <w:pBdr>
          <w:bottom w:val="single" w:color="2E75B6" w:sz="6" w:space="1"/>
        </w:pBdr>
        <w:spacing w:after="120" w:before="300"/>
      </w:pPr>
      <w:r>
        <w:rPr>
          <w:rFonts w:ascii="Arial" w:cs="Arial" w:eastAsia="Arial" w:hAnsi="Arial"/>
          <w:b/>
          <w:bCs/>
          <w:color w:val="17375E"/>
          <w:sz w:val="26"/>
          <w:szCs w:val="26"/>
        </w:rPr>
        <w:t xml:space="preserve">6.3  Cluster-Level Gap Areas</w:t>
      </w:r>
    </w:p>
    <w:p>
      <w:pPr>
        <w:spacing w:after="120" w:before="0" w:line="276"/>
        <w:jc w:val="left"/>
      </w:pPr>
      <w:r>
        <w:rPr>
          <w:rFonts w:ascii="Arial" w:cs="Arial" w:eastAsia="Arial" w:hAnsi="Arial"/>
          <w:b w:val="false"/>
          <w:bCs w:val="false"/>
          <w:i w:val="false"/>
          <w:iCs w:val="false"/>
          <w:color w:val="000000"/>
          <w:sz w:val="22"/>
          <w:szCs w:val="22"/>
        </w:rPr>
        <w:t xml:space="preserve">Gap clusters (Section 5, Script 05) translate raw spatial mismatches into actionable siting recommendations. Each cluster polygon represents a zone where adding one CVLZ would reduce the gap score most efficiently. Planners can overlay these against curb availability, turning-movement constraints, and parking demand to identify feasible siting locations.</w:t>
      </w:r>
    </w:p>
    <w:p>
      <w:pPr>
        <w:pStyle w:val="Heading2"/>
        <w:pBdr>
          <w:bottom w:val="single" w:color="2E75B6" w:sz="6" w:space="1"/>
        </w:pBdr>
        <w:spacing w:after="120" w:before="300"/>
      </w:pPr>
      <w:r>
        <w:rPr>
          <w:rFonts w:ascii="Arial" w:cs="Arial" w:eastAsia="Arial" w:hAnsi="Arial"/>
          <w:b/>
          <w:bCs/>
          <w:color w:val="17375E"/>
          <w:sz w:val="26"/>
          <w:szCs w:val="26"/>
        </w:rPr>
        <w:t xml:space="preserve">6.4  Comparative Framing</w:t>
      </w:r>
    </w:p>
    <w:p>
      <w:pPr>
        <w:spacing w:after="120" w:before="0" w:line="276"/>
        <w:jc w:val="left"/>
      </w:pPr>
      <w:r>
        <w:rPr>
          <w:rFonts w:ascii="Arial" w:cs="Arial" w:eastAsia="Arial" w:hAnsi="Arial"/>
          <w:b w:val="false"/>
          <w:bCs w:val="false"/>
          <w:i w:val="false"/>
          <w:iCs w:val="false"/>
          <w:color w:val="000000"/>
          <w:sz w:val="22"/>
          <w:szCs w:val="22"/>
        </w:rPr>
        <w:t xml:space="preserve">Because analysis spans 3–5 centers, results can be ranked by unmet demand severity. Centers with high total DDI and low WCR should receive planning priority. Centers with moderate DDI but very uneven spatial distribution (high coefficient of variation in DCR across grid cells) indicate maldistribution rather than aggregate shortage.</w:t>
      </w:r>
    </w:p>
    <w:p>
      <w:r>
        <w:br w:type="page"/>
      </w:r>
    </w:p>
    <w:p>
      <w:pPr>
        <w:pStyle w:val="Heading1"/>
        <w:shd w:fill="1F4E79" w:val="clear"/>
        <w:spacing w:after="180" w:before="360"/>
        <w:ind w:left="180"/>
      </w:pPr>
      <w:r>
        <w:rPr>
          <w:rFonts w:ascii="Arial" w:cs="Arial" w:eastAsia="Arial" w:hAnsi="Arial"/>
          <w:b/>
          <w:bCs/>
          <w:color w:val="FFFFFF"/>
          <w:sz w:val="36"/>
          <w:szCs w:val="36"/>
        </w:rPr>
        <w:t xml:space="preserve">7  Key References for Methods Section</w:t>
      </w:r>
    </w:p>
    <w:p>
      <w:pPr>
        <w:pStyle w:val="ListParagraph"/>
        <w:numPr>
          <w:ilvl w:val="0"/>
          <w:numId w:val="2"/>
        </w:numPr>
        <w:spacing w:after="60" w:before="40"/>
      </w:pPr>
      <w:r>
        <w:rPr>
          <w:rFonts w:ascii="Arial" w:cs="Arial" w:eastAsia="Arial" w:hAnsi="Arial"/>
          <w:sz w:val="22"/>
          <w:szCs w:val="22"/>
        </w:rPr>
        <w:t xml:space="preserve">Holguín-Veras, J., et al. (2012). Modeling urban freight generation: A study of commercial establishments' freight needs. Transportation Research Part A, 46(7), 1084–1099.  [demand weights basis]</w:t>
      </w:r>
    </w:p>
    <w:p>
      <w:pPr>
        <w:pStyle w:val="ListParagraph"/>
        <w:numPr>
          <w:ilvl w:val="0"/>
          <w:numId w:val="2"/>
        </w:numPr>
        <w:spacing w:after="60" w:before="40"/>
      </w:pPr>
      <w:r>
        <w:rPr>
          <w:rFonts w:ascii="Arial" w:cs="Arial" w:eastAsia="Arial" w:hAnsi="Arial"/>
          <w:sz w:val="22"/>
          <w:szCs w:val="22"/>
        </w:rPr>
        <w:t xml:space="preserve">Aljohani, K., &amp; Thompson, R. (2016). Impacts of logistics sprawl on the urban environment and logistics network in a monopercentric city. Procedia - Social and Behavioral Sciences, 200, 353–363.  [50 m threshold]</w:t>
      </w:r>
    </w:p>
    <w:p>
      <w:pPr>
        <w:pStyle w:val="ListParagraph"/>
        <w:numPr>
          <w:ilvl w:val="0"/>
          <w:numId w:val="2"/>
        </w:numPr>
        <w:spacing w:after="60" w:before="40"/>
      </w:pPr>
      <w:r>
        <w:rPr>
          <w:rFonts w:ascii="Arial" w:cs="Arial" w:eastAsia="Arial" w:hAnsi="Arial"/>
          <w:sz w:val="22"/>
          <w:szCs w:val="22"/>
        </w:rPr>
        <w:t xml:space="preserve">Cherrett, T., et al. (2012). Understanding urban freight activity — key issues for freight planning. Journal of Transport Geography, 24, 22–32.  [150 m threshold]</w:t>
      </w:r>
    </w:p>
    <w:p>
      <w:pPr>
        <w:pStyle w:val="ListParagraph"/>
        <w:numPr>
          <w:ilvl w:val="0"/>
          <w:numId w:val="2"/>
        </w:numPr>
        <w:spacing w:after="60" w:before="40"/>
      </w:pPr>
      <w:r>
        <w:rPr>
          <w:rFonts w:ascii="Arial" w:cs="Arial" w:eastAsia="Arial" w:hAnsi="Arial"/>
          <w:sz w:val="22"/>
          <w:szCs w:val="22"/>
        </w:rPr>
        <w:t xml:space="preserve">Allen, J., et al. (2000). A framework for considering policies to encourage sustainable urban freight traffic and good supply chains. Transport Policy, 7(4), 331–344.  [100 m threshold]</w:t>
      </w:r>
    </w:p>
    <w:p>
      <w:pPr>
        <w:pStyle w:val="ListParagraph"/>
        <w:numPr>
          <w:ilvl w:val="0"/>
          <w:numId w:val="2"/>
        </w:numPr>
        <w:spacing w:after="60" w:before="40"/>
      </w:pPr>
      <w:r>
        <w:rPr>
          <w:rFonts w:ascii="Arial" w:cs="Arial" w:eastAsia="Arial" w:hAnsi="Arial"/>
          <w:sz w:val="22"/>
          <w:szCs w:val="22"/>
        </w:rPr>
        <w:t xml:space="preserve">Boeing, G. (2017). OSMnx: New methods for acquiring, constructing, analyzing, and visualizing complex street networks. Computers, Environment and Urban Systems, 65, 126–139.  [OSMnx network methodology]</w:t>
      </w:r>
    </w:p>
    <w:p>
      <w:pPr>
        <w:pStyle w:val="ListParagraph"/>
        <w:numPr>
          <w:ilvl w:val="0"/>
          <w:numId w:val="2"/>
        </w:numPr>
        <w:spacing w:after="60" w:before="40"/>
      </w:pPr>
      <w:r>
        <w:rPr>
          <w:rFonts w:ascii="Arial" w:cs="Arial" w:eastAsia="Arial" w:hAnsi="Arial"/>
          <w:sz w:val="22"/>
          <w:szCs w:val="22"/>
        </w:rPr>
        <w:t xml:space="preserve">PSRC. (2024). Regional Centers Monitoring Report. Puget Sound Regional Council.  [Regional Center boundaries and typology]</w:t>
      </w:r>
    </w:p>
    <w:p>
      <w:pPr>
        <w:spacing w:after="200" w:before="0"/>
      </w:pPr>
      <w:r>
        <w:t xml:space="preserve"/>
      </w:r>
    </w:p>
    <w:p>
      <w:pPr>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0"/>
    </w:pPr>
    <w:r>
      <w:rPr>
        <w:rFonts w:ascii="Arial" w:cs="Arial" w:eastAsia="Arial" w:hAnsi="Arial"/>
        <w:color w:val="888888"/>
        <w:sz w:val="18"/>
        <w:szCs w:val="18"/>
      </w:rPr>
      <w:t xml:space="preserve">CVLZ Geospatial Analysis — Full Analysis Plan &amp; Workflow</w:t>
    </w:r>
    <w:r>
      <w:rPr>
        <w:rFonts w:ascii="Arial" w:cs="Arial" w:eastAsia="Arial" w:hAnsi="Arial"/>
        <w:color w:val="888888"/>
        <w:sz w:val="18"/>
        <w:szCs w:val="18"/>
      </w:rPr>
      <w:t xml:space="preserve">	URBAN 522  |  Sobaih, Tritt, Levin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737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2026-03-04T22:24:30.873Z</dcterms:created>
  <dcterms:modified xsi:type="dcterms:W3CDTF">2026-03-04T22:24:30.873Z</dcterms:modified>
</cp:coreProperties>
</file>

<file path=docProps/custom.xml><?xml version="1.0" encoding="utf-8"?>
<Properties xmlns="http://schemas.openxmlformats.org/officeDocument/2006/custom-properties" xmlns:vt="http://schemas.openxmlformats.org/officeDocument/2006/docPropsVTypes"/>
</file>