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F72"/>
          <w:sz w:val="56"/>
          <w:szCs w:val="56"/>
        </w:rPr>
        <w:t xml:space="preserve">CARBON AMBER</w:t>
      </w:r>
    </w:p>
    <w:p>
      <w:pPr>
        <w:spacing w:after="200"/>
        <w:jc w:val="center"/>
      </w:pPr>
      <w:r>
        <w:rPr>
          <w:rFonts w:ascii="Arial" w:cs="Arial" w:eastAsia="Arial" w:hAnsi="Arial"/>
          <w:color w:val="2E86C1"/>
          <w:sz w:val="36"/>
          <w:szCs w:val="36"/>
        </w:rPr>
        <w:t xml:space="preserve">Enterprise Agentic AI Platform</w:t>
      </w:r>
    </w:p>
    <w:p>
      <w:pPr>
        <w:pBdr>
          <w:bottom w:val="single" w:color="2E86C1" w:sz="6" w:space="1"/>
        </w:pBdr>
        <w:spacing w:after="400"/>
        <w:jc w:val="center"/>
      </w:pPr>
    </w:p>
    <w:p>
      <w:pPr>
        <w:spacing w:after="80"/>
        <w:jc w:val="center"/>
      </w:pPr>
      <w:r>
        <w:rPr>
          <w:rFonts w:ascii="Arial" w:cs="Arial" w:eastAsia="Arial" w:hAnsi="Arial"/>
          <w:color w:val="1C2833"/>
          <w:sz w:val="26"/>
          <w:szCs w:val="26"/>
        </w:rPr>
        <w:t xml:space="preserve">Investor Presentation Outline</w:t>
      </w:r>
    </w:p>
    <w:p>
      <w:pPr>
        <w:spacing w:after="80"/>
        <w:jc w:val="center"/>
      </w:pPr>
      <w:r>
        <w:rPr>
          <w:rFonts w:ascii="Arial" w:cs="Arial" w:eastAsia="Arial" w:hAnsi="Arial"/>
          <w:color w:val="7F8C8D"/>
          <w:sz w:val="22"/>
          <w:szCs w:val="22"/>
        </w:rPr>
        <w:t xml:space="preserve">Sentient.io Pte Ltd</w:t>
      </w:r>
    </w:p>
    <w:p>
      <w:pPr>
        <w:spacing w:after="80"/>
        <w:jc w:val="center"/>
      </w:pPr>
      <w:r>
        <w:rPr>
          <w:rFonts w:ascii="Arial" w:cs="Arial" w:eastAsia="Arial" w:hAnsi="Arial"/>
          <w:color w:val="7F8C8D"/>
          <w:sz w:val="22"/>
          <w:szCs w:val="22"/>
        </w:rPr>
        <w:t xml:space="preserve">February 2026</w:t>
      </w:r>
    </w:p>
    <w:p>
      <w:r>
        <w:br w:type="page"/>
      </w:r>
    </w:p>
    <w:p>
      <w:pPr>
        <w:pStyle w:val="Heading1"/>
        <w:spacing w:before="200" w:after="300"/>
      </w:pPr>
      <w:r>
        <w:rPr>
          <w:rFonts w:ascii="Arial" w:cs="Arial" w:eastAsia="Arial" w:hAnsi="Arial"/>
          <w:b/>
          <w:bCs/>
          <w:color w:val="1B4F72"/>
          <w:sz w:val="36"/>
          <w:szCs w:val="36"/>
        </w:rPr>
        <w:t xml:space="preserve">Presentation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color w:val="1C2833"/>
                <w:sz w:val="20"/>
                <w:szCs w:val="20"/>
              </w:rPr>
              <w:t xml:space="preserve">1</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The Problem</w:t>
            </w:r>
          </w:p>
        </w:tc>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7F8C8D"/>
                <w:sz w:val="20"/>
                <w:szCs w:val="20"/>
              </w:rPr>
              <w:t xml:space="preserve">Hook investors with the enterprise pain point</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C2833"/>
                <w:sz w:val="20"/>
                <w:szCs w:val="20"/>
              </w:rPr>
              <w:t xml:space="preserve">2</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Our Solution: Carbon Amber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20"/>
                <w:szCs w:val="20"/>
              </w:rPr>
              <w:t xml:space="preserve">Introduce the platform</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color w:val="1C2833"/>
                <w:sz w:val="20"/>
                <w:szCs w:val="20"/>
              </w:rPr>
              <w:t xml:space="preserve">3</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How It Works</w:t>
            </w:r>
          </w:p>
        </w:tc>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7F8C8D"/>
                <w:sz w:val="20"/>
                <w:szCs w:val="20"/>
              </w:rPr>
              <w:t xml:space="preserve">Architecture and agent chain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C2833"/>
                <w:sz w:val="20"/>
                <w:szCs w:val="20"/>
              </w:rPr>
              <w:t xml:space="preserve">4</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Deploy Anywhere: Application Agnosticism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20"/>
                <w:szCs w:val="20"/>
              </w:rPr>
              <w:t xml:space="preserve">Show vertical flexibility</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color w:val="1C2833"/>
                <w:sz w:val="20"/>
                <w:szCs w:val="20"/>
              </w:rPr>
              <w:t xml:space="preserve">5</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Market Opportunity</w:t>
            </w:r>
          </w:p>
        </w:tc>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7F8C8D"/>
                <w:sz w:val="20"/>
                <w:szCs w:val="20"/>
              </w:rPr>
              <w:t xml:space="preserve">Addressable market and timing</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C2833"/>
                <w:sz w:val="20"/>
                <w:szCs w:val="20"/>
              </w:rPr>
              <w:t xml:space="preserve">6</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Traction and Proof Points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20"/>
                <w:szCs w:val="20"/>
              </w:rPr>
              <w:t xml:space="preserve">Validation and deployments</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color w:val="1C2833"/>
                <w:sz w:val="20"/>
                <w:szCs w:val="20"/>
              </w:rPr>
              <w:t xml:space="preserve">7</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Business Model</w:t>
            </w:r>
          </w:p>
        </w:tc>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7F8C8D"/>
                <w:sz w:val="20"/>
                <w:szCs w:val="20"/>
              </w:rPr>
              <w:t xml:space="preserve">Revenue and unit economics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C2833"/>
                <w:sz w:val="20"/>
                <w:szCs w:val="20"/>
              </w:rPr>
              <w:t xml:space="preserve">8</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The Ask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20"/>
                <w:szCs w:val="20"/>
              </w:rPr>
              <w:t xml:space="preserve">Investment terms and use of funds</w:t>
            </w:r>
          </w:p>
        </w:tc>
      </w:tr>
    </w:tbl>
    <w:p>
      <w:r>
        <w:br w:type="page"/>
      </w:r>
    </w:p>
    <w:p>
      <w:pPr>
        <w:spacing w:before="360" w:after="80"/>
      </w:pPr>
      <w:r>
        <w:rPr>
          <w:rFonts w:ascii="Arial" w:cs="Arial" w:eastAsia="Arial" w:hAnsi="Arial"/>
          <w:b/>
          <w:bCs/>
          <w:color w:val="2E86C1"/>
          <w:sz w:val="18"/>
          <w:szCs w:val="18"/>
        </w:rPr>
        <w:t xml:space="preserve">SLIDE 1</w:t>
      </w:r>
    </w:p>
    <w:p>
      <w:pPr>
        <w:pStyle w:val="Heading1"/>
        <w:spacing w:after="200"/>
      </w:pPr>
      <w:r>
        <w:rPr>
          <w:rFonts w:ascii="Arial" w:cs="Arial" w:eastAsia="Arial" w:hAnsi="Arial"/>
          <w:b/>
          <w:bCs/>
          <w:color w:val="1B4F72"/>
          <w:sz w:val="36"/>
          <w:szCs w:val="36"/>
        </w:rPr>
        <w:t xml:space="preserve">The Problem</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"Enterprises Need AI Agents That Think, Govern, and Scale — Not Just Chat"</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Enterprises are investing heavily in AI, but most deployments remain single-purpose tools: a chatbot here, a summarizer there, a classifier somewhere else. There is no unified intelligent layer coordinating complex, multi-step workflows across the organization.</w:t>
      </w:r>
    </w:p>
    <w:p>
      <w:pPr>
        <w:pStyle w:val="ListParagraph"/>
        <w:numPr>
          <w:ilvl w:val="0"/>
          <w:numId w:val="2"/>
        </w:numPr>
        <w:spacing w:before="60" w:after="60"/>
      </w:pPr>
      <w:r>
        <w:rPr>
          <w:rFonts w:ascii="Arial" w:cs="Arial" w:eastAsia="Arial" w:hAnsi="Arial"/>
          <w:color w:val="1C2833"/>
          <w:sz w:val="22"/>
          <w:szCs w:val="22"/>
        </w:rPr>
        <w:t xml:space="preserve">The real enterprise need is autonomous agent systems that can decompose complex requests into strategic objectives, plan execution across multiple capabilities, and deliver structured outputs with full auditability — not just generate text.</w:t>
      </w:r>
    </w:p>
    <w:p>
      <w:pPr>
        <w:pStyle w:val="ListParagraph"/>
        <w:numPr>
          <w:ilvl w:val="0"/>
          <w:numId w:val="2"/>
        </w:numPr>
        <w:spacing w:before="60" w:after="60"/>
      </w:pPr>
      <w:r>
        <w:rPr>
          <w:rFonts w:ascii="Arial" w:cs="Arial" w:eastAsia="Arial" w:hAnsi="Arial"/>
          <w:color w:val="1C2833"/>
          <w:sz w:val="22"/>
          <w:szCs w:val="22"/>
        </w:rPr>
        <w:t xml:space="preserve">Existing agentic AI frameworks lack mandatory governance, structured audit trails, and application-agnostic design. Enterprises face a build-from-scratch problem every time they want to deploy AI agents for a new use case.</w:t>
      </w:r>
    </w:p>
    <w:p>
      <w:pPr>
        <w:pStyle w:val="ListParagraph"/>
        <w:numPr>
          <w:ilvl w:val="0"/>
          <w:numId w:val="2"/>
        </w:numPr>
        <w:spacing w:before="60" w:after="60"/>
      </w:pPr>
      <w:r>
        <w:rPr>
          <w:rFonts w:ascii="Arial" w:cs="Arial" w:eastAsia="Arial" w:hAnsi="Arial"/>
          <w:color w:val="1C2833"/>
          <w:sz w:val="22"/>
          <w:szCs w:val="22"/>
        </w:rPr>
        <w:t xml:space="preserve">The cost of fragmented AI tooling is compounding: duplicated infrastructure, inconsistent quality, no institutional memory, and zero cross-application learning.</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Comparison graphic: fragmented AI tools (siloed) versus a unified agentic platform (coordinated)</w:t>
      </w:r>
    </w:p>
    <w:p>
      <w:pPr>
        <w:pStyle w:val="ListParagraph"/>
        <w:numPr>
          <w:ilvl w:val="0"/>
          <w:numId w:val="2"/>
        </w:numPr>
        <w:spacing w:before="60" w:after="60"/>
      </w:pPr>
      <w:r>
        <w:rPr>
          <w:rFonts w:ascii="Arial" w:cs="Arial" w:eastAsia="Arial" w:hAnsi="Arial"/>
          <w:color w:val="1C2833"/>
          <w:sz w:val="22"/>
          <w:szCs w:val="22"/>
        </w:rPr>
        <w:t xml:space="preserve">Enterprise AI maturity curve showing the gap between chatbot-level and autonomous-agent-level deployments</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Open by asking: how many AI tools does the average enterprise run today? Then contrast that with how many can autonomously coordinate a multi-step workflow end-to-end. The gap is the opportunity.</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2</w:t>
      </w:r>
    </w:p>
    <w:p>
      <w:pPr>
        <w:pStyle w:val="Heading1"/>
        <w:spacing w:after="200"/>
      </w:pPr>
      <w:r>
        <w:rPr>
          <w:rFonts w:ascii="Arial" w:cs="Arial" w:eastAsia="Arial" w:hAnsi="Arial"/>
          <w:b/>
          <w:bCs/>
          <w:color w:val="1B4F72"/>
          <w:sz w:val="36"/>
          <w:szCs w:val="36"/>
        </w:rPr>
        <w:t xml:space="preserve">Our Solution: Carbon Amber</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"The Application-Agnostic Operating System for Enterprise AI Agents"</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Carbon Amber is a modular agentic AI architecture that defines how multiple AI agents collaborate autonomously to process complex enterprise requests. It functions as a "constitution" for AI agent systems — establishing how agents behave, communicate, and maintain accountability.</w:t>
      </w:r>
    </w:p>
    <w:p>
      <w:pPr>
        <w:pStyle w:val="ListParagraph"/>
        <w:numPr>
          <w:ilvl w:val="0"/>
          <w:numId w:val="2"/>
        </w:numPr>
        <w:spacing w:before="60" w:after="60"/>
      </w:pPr>
      <w:r>
        <w:rPr>
          <w:rFonts w:ascii="Arial" w:cs="Arial" w:eastAsia="Arial" w:hAnsi="Arial"/>
          <w:color w:val="1C2833"/>
          <w:sz w:val="22"/>
          <w:szCs w:val="22"/>
        </w:rPr>
        <w:t xml:space="preserve">Three-layer agent hierarchy separates concerns cleanly: Governance Core (strategic decomposition of requests into objectives and goals), Operational Core (planning, dispatch, reasoning, and institutional memory), and Executional Core (specialized task execution via tool-calling agents).</w:t>
      </w:r>
    </w:p>
    <w:p>
      <w:pPr>
        <w:pStyle w:val="ListParagraph"/>
        <w:numPr>
          <w:ilvl w:val="0"/>
          <w:numId w:val="2"/>
        </w:numPr>
        <w:spacing w:before="60" w:after="60"/>
      </w:pPr>
      <w:r>
        <w:rPr>
          <w:rFonts w:ascii="Arial" w:cs="Arial" w:eastAsia="Arial" w:hAnsi="Arial"/>
          <w:color w:val="1C2833"/>
          <w:sz w:val="22"/>
          <w:szCs w:val="22"/>
        </w:rPr>
        <w:t xml:space="preserve">Application-agnostic by design: the universal framework (governance, operational agents, audit, messaging) stays constant. To deploy a new application, you swap a single configuration file (application.md) that defines capabilities, scope, and constraints. No code changes to the orchestration engine.</w:t>
      </w:r>
    </w:p>
    <w:p>
      <w:pPr>
        <w:pStyle w:val="ListParagraph"/>
        <w:numPr>
          <w:ilvl w:val="0"/>
          <w:numId w:val="2"/>
        </w:numPr>
        <w:spacing w:before="60" w:after="60"/>
      </w:pPr>
      <w:r>
        <w:rPr>
          <w:rFonts w:ascii="Arial" w:cs="Arial" w:eastAsia="Arial" w:hAnsi="Arial"/>
          <w:color w:val="1C2833"/>
          <w:sz w:val="22"/>
          <w:szCs w:val="22"/>
        </w:rPr>
        <w:t xml:space="preserve">Built on Small Language Models (SLMs) by default — Llama-3-8B, Qwen-2.5-7B — for dramatic cost efficiency. Larger models are invoked only when the task demands it, keeping per-transaction costs a fraction of competitors.</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Architecture diagram: three-core hierarchy (Governance → Operational → Executional) with the Agent Runtime Layer (ARL) orchestration engine underneath</w:t>
      </w:r>
    </w:p>
    <w:p>
      <w:pPr>
        <w:pStyle w:val="ListParagraph"/>
        <w:numPr>
          <w:ilvl w:val="0"/>
          <w:numId w:val="2"/>
        </w:numPr>
        <w:spacing w:before="60" w:after="60"/>
      </w:pPr>
      <w:r>
        <w:rPr>
          <w:rFonts w:ascii="Arial" w:cs="Arial" w:eastAsia="Arial" w:hAnsi="Arial"/>
          <w:color w:val="1C2833"/>
          <w:sz w:val="22"/>
          <w:szCs w:val="22"/>
        </w:rPr>
        <w:t xml:space="preserve">"One platform, many applications" visual: single Carbon Amber core with multiple application configurations radiating outward</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Use the metaphor: Carbon Amber is the brain; the ARL orchestration engine is the nervous system. Together they form a complete AI agent system. Emphasize that this is not a framework — it is an enterprise-grade platform with governance built in from day one.</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3</w:t>
      </w:r>
    </w:p>
    <w:p>
      <w:pPr>
        <w:pStyle w:val="Heading1"/>
        <w:spacing w:after="200"/>
      </w:pPr>
      <w:r>
        <w:rPr>
          <w:rFonts w:ascii="Arial" w:cs="Arial" w:eastAsia="Arial" w:hAnsi="Arial"/>
          <w:b/>
          <w:bCs/>
          <w:color w:val="1B4F72"/>
          <w:sz w:val="36"/>
          <w:szCs w:val="36"/>
        </w:rPr>
        <w:t xml:space="preserve">How It Works</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"From Complex Request to Structured Intelligence in Minutes"</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Agent chain flow: a user request enters the Objective Agent (what needs to be achieved), flows to the Goal Agent (how to achieve it), then to the Planning Agent which produces a DAG-based execution plan with parallelizable task groups, dependency tracking, and resource registration.</w:t>
      </w:r>
    </w:p>
    <w:p>
      <w:pPr>
        <w:pStyle w:val="ListParagraph"/>
        <w:numPr>
          <w:ilvl w:val="0"/>
          <w:numId w:val="2"/>
        </w:numPr>
        <w:spacing w:before="60" w:after="60"/>
      </w:pPr>
      <w:r>
        <w:rPr>
          <w:rFonts w:ascii="Arial" w:cs="Arial" w:eastAsia="Arial" w:hAnsi="Arial"/>
          <w:color w:val="1C2833"/>
          <w:sz w:val="22"/>
          <w:szCs w:val="22"/>
        </w:rPr>
        <w:t xml:space="preserve">The Dispatch Agent manages runtime execution: it resolves dependencies, dispatches tool-calling tasks to the Execution Agent and synthesis tasks to the Reasoning Agent, handles failures with downstream impact analysis, and coordinates parallel execution within groups.</w:t>
      </w:r>
    </w:p>
    <w:p>
      <w:pPr>
        <w:pStyle w:val="ListParagraph"/>
        <w:numPr>
          <w:ilvl w:val="0"/>
          <w:numId w:val="2"/>
        </w:numPr>
        <w:spacing w:before="60" w:after="60"/>
      </w:pPr>
      <w:r>
        <w:rPr>
          <w:rFonts w:ascii="Arial" w:cs="Arial" w:eastAsia="Arial" w:hAnsi="Arial"/>
          <w:color w:val="1C2833"/>
          <w:sz w:val="22"/>
          <w:szCs w:val="22"/>
        </w:rPr>
        <w:t xml:space="preserve">Mandatory governance at every step: every agent output includes an audit field with compliance notes, governance files consulted, and chain-of-thought reasoning. The ARL orchestration engine writes these to immutable audit logs, creating a complete decision trail.</w:t>
      </w:r>
    </w:p>
    <w:p>
      <w:pPr>
        <w:pStyle w:val="ListParagraph"/>
        <w:numPr>
          <w:ilvl w:val="0"/>
          <w:numId w:val="2"/>
        </w:numPr>
        <w:spacing w:before="60" w:after="60"/>
      </w:pPr>
      <w:r>
        <w:rPr>
          <w:rFonts w:ascii="Arial" w:cs="Arial" w:eastAsia="Arial" w:hAnsi="Arial"/>
          <w:color w:val="1C2833"/>
          <w:sz w:val="22"/>
          <w:szCs w:val="22"/>
        </w:rPr>
        <w:t xml:space="preserve">Institutional memory via the Memory Agent: the platform learns from its own operations, distilling audit logs into domain knowledge, operational heuristics, error prevention patterns, and quality benchmarks that improve performance over time.</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Stepped diagram of the ARL 6-station workflow: Webhook Receiver → Definition Retrieval (cache-first) → Context Assembly → Reasoning Core → Immutable Logging → Router</w:t>
      </w:r>
    </w:p>
    <w:p>
      <w:pPr>
        <w:pStyle w:val="ListParagraph"/>
        <w:numPr>
          <w:ilvl w:val="0"/>
          <w:numId w:val="2"/>
        </w:numPr>
        <w:spacing w:before="60" w:after="60"/>
      </w:pPr>
      <w:r>
        <w:rPr>
          <w:rFonts w:ascii="Arial" w:cs="Arial" w:eastAsia="Arial" w:hAnsi="Arial"/>
          <w:color w:val="1C2833"/>
          <w:sz w:val="22"/>
          <w:szCs w:val="22"/>
        </w:rPr>
        <w:t xml:space="preserve">Example processing flow: a complex enterprise request decomposed into objectives, goals, a DAG execution plan, and structured output</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Walk through a concrete example: a multi-step enterprise request that requires data acquisition, analysis, and reporting. Show how the agent chain decomposes it, plans parallel execution, and returns a structured result with full audit trail. Highlight circuit breaker protection (10-hop limit) and Redis caching (90%+ hit rate target).</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4</w:t>
      </w:r>
    </w:p>
    <w:p>
      <w:pPr>
        <w:pStyle w:val="Heading1"/>
        <w:spacing w:after="200"/>
      </w:pPr>
      <w:r>
        <w:rPr>
          <w:rFonts w:ascii="Arial" w:cs="Arial" w:eastAsia="Arial" w:hAnsi="Arial"/>
          <w:b/>
          <w:bCs/>
          <w:color w:val="1B4F72"/>
          <w:sz w:val="36"/>
          <w:szCs w:val="36"/>
        </w:rPr>
        <w:t xml:space="preserve">Deploy Anywhere: Application Agnosticism</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"One Platform. Unlimited Applications. Zero Code Changes."</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Carbon Amber separates universal agent logic from application-specific configuration. The Governance Core, Operational Core, governance policies, audit system, and messaging standards are identical across all deployments.</w:t>
      </w:r>
    </w:p>
    <w:p>
      <w:pPr>
        <w:pStyle w:val="ListParagraph"/>
        <w:numPr>
          <w:ilvl w:val="0"/>
          <w:numId w:val="2"/>
        </w:numPr>
        <w:spacing w:before="60" w:after="60"/>
      </w:pPr>
      <w:r>
        <w:rPr>
          <w:rFonts w:ascii="Arial" w:cs="Arial" w:eastAsia="Arial" w:hAnsi="Arial"/>
          <w:color w:val="1C2833"/>
          <w:sz w:val="22"/>
          <w:szCs w:val="22"/>
        </w:rPr>
        <w:t xml:space="preserve">To deploy a new application, you create one configuration file (application.md) that defines: application identity, primary objective, capabilities matrix with dependency chains, supported input sources, technology stack, Executional Core agents, and scope constraints.</w:t>
      </w:r>
    </w:p>
    <w:p>
      <w:pPr>
        <w:pStyle w:val="ListParagraph"/>
        <w:numPr>
          <w:ilvl w:val="0"/>
          <w:numId w:val="2"/>
        </w:numPr>
        <w:spacing w:before="60" w:after="60"/>
      </w:pPr>
      <w:r>
        <w:rPr>
          <w:rFonts w:ascii="Arial" w:cs="Arial" w:eastAsia="Arial" w:hAnsi="Arial"/>
          <w:color w:val="1C2833"/>
          <w:sz w:val="22"/>
          <w:szCs w:val="22"/>
        </w:rPr>
        <w:t xml:space="preserve">The Executional Core is the only layer that changes per application. Each application defines its own specialized agents for domain-specific tasks, while the rest of the platform is reused without modification.</w:t>
      </w:r>
    </w:p>
    <w:p>
      <w:pPr>
        <w:pStyle w:val="ListParagraph"/>
        <w:numPr>
          <w:ilvl w:val="0"/>
          <w:numId w:val="2"/>
        </w:numPr>
        <w:spacing w:before="60" w:after="60"/>
      </w:pPr>
      <w:r>
        <w:rPr>
          <w:rFonts w:ascii="Arial" w:cs="Arial" w:eastAsia="Arial" w:hAnsi="Arial"/>
          <w:color w:val="1C2833"/>
          <w:sz w:val="22"/>
          <w:szCs w:val="22"/>
        </w:rPr>
        <w:t xml:space="preserve">Example verticals enabled by this design: multi-modal content intelligence, document processing and extraction, compliance monitoring, customer interaction analysis, supply chain oversight, and threat detection — all running on the same Carbon Amber core.</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Side-by-side comparison: what stays the same (universal) versus what changes (application-specific) across three different vertical deployments</w:t>
      </w:r>
    </w:p>
    <w:p>
      <w:pPr>
        <w:pStyle w:val="ListParagraph"/>
        <w:numPr>
          <w:ilvl w:val="0"/>
          <w:numId w:val="2"/>
        </w:numPr>
        <w:spacing w:before="60" w:after="60"/>
      </w:pPr>
      <w:r>
        <w:rPr>
          <w:rFonts w:ascii="Arial" w:cs="Arial" w:eastAsia="Arial" w:hAnsi="Arial"/>
          <w:color w:val="1C2833"/>
          <w:sz w:val="22"/>
          <w:szCs w:val="22"/>
        </w:rPr>
        <w:t xml:space="preserve">Deployment timeline graphic: "New vertical in days, not months"</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This is the slide that differentiates Carbon Amber from every other agentic AI framework. Competitors require rebuilding agent logic for each use case. Carbon Amber treats applications as configuration, not code. Every new vertical is incremental revenue with minimal marginal development cost.</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5</w:t>
      </w:r>
    </w:p>
    <w:p>
      <w:pPr>
        <w:pStyle w:val="Heading1"/>
        <w:spacing w:after="200"/>
      </w:pPr>
      <w:r>
        <w:rPr>
          <w:rFonts w:ascii="Arial" w:cs="Arial" w:eastAsia="Arial" w:hAnsi="Arial"/>
          <w:b/>
          <w:bCs/>
          <w:color w:val="1B4F72"/>
          <w:sz w:val="36"/>
          <w:szCs w:val="36"/>
        </w:rPr>
        <w:t xml:space="preserve">Market Opportunity</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"Enterprise Agentic AI: The Next Platform Shift"</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Total Addressable Market (TAM): the global AI agent market is projected to reach $XX billion by 2028, driven by enterprise demand for autonomous workflows that go beyond chatbots and co-pilots (cite current industry research).</w:t>
      </w:r>
    </w:p>
    <w:p>
      <w:pPr>
        <w:pStyle w:val="ListParagraph"/>
        <w:numPr>
          <w:ilvl w:val="0"/>
          <w:numId w:val="2"/>
        </w:numPr>
        <w:spacing w:before="60" w:after="60"/>
      </w:pPr>
      <w:r>
        <w:rPr>
          <w:rFonts w:ascii="Arial" w:cs="Arial" w:eastAsia="Arial" w:hAnsi="Arial"/>
          <w:color w:val="1C2833"/>
          <w:sz w:val="22"/>
          <w:szCs w:val="22"/>
        </w:rPr>
        <w:t xml:space="preserve">Serviceable Addressable Market (SAM): enterprises and government agencies across APAC and globally that require governed, auditable, multi-step AI agent systems for mission-critical operations.</w:t>
      </w:r>
    </w:p>
    <w:p>
      <w:pPr>
        <w:pStyle w:val="ListParagraph"/>
        <w:numPr>
          <w:ilvl w:val="0"/>
          <w:numId w:val="2"/>
        </w:numPr>
        <w:spacing w:before="60" w:after="60"/>
      </w:pPr>
      <w:r>
        <w:rPr>
          <w:rFonts w:ascii="Arial" w:cs="Arial" w:eastAsia="Arial" w:hAnsi="Arial"/>
          <w:color w:val="1C2833"/>
          <w:sz w:val="22"/>
          <w:szCs w:val="22"/>
        </w:rPr>
        <w:t xml:space="preserve">Timing advantage: the convergence of capable Small Language Models, mature open-source tooling (n8n, Whisper-X, YOLO, Elasticsearch), and rising enterprise demand for autonomous AI creates a window for platform plays that can ship governance and auditability from day one.</w:t>
      </w:r>
    </w:p>
    <w:p>
      <w:pPr>
        <w:pStyle w:val="ListParagraph"/>
        <w:numPr>
          <w:ilvl w:val="0"/>
          <w:numId w:val="2"/>
        </w:numPr>
        <w:spacing w:before="60" w:after="60"/>
      </w:pPr>
      <w:r>
        <w:rPr>
          <w:rFonts w:ascii="Arial" w:cs="Arial" w:eastAsia="Arial" w:hAnsi="Arial"/>
          <w:color w:val="1C2833"/>
          <w:sz w:val="22"/>
          <w:szCs w:val="22"/>
        </w:rPr>
        <w:t xml:space="preserve">Application-agnostic design multiplies the addressable market: each new vertical is a configuration change, not a rebuild. The TAM is not one market — it is every enterprise vertical that needs intelligent, governed automation.</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TAM / SAM / SOM concentric circle diagram</w:t>
      </w:r>
    </w:p>
    <w:p>
      <w:pPr>
        <w:pStyle w:val="ListParagraph"/>
        <w:numPr>
          <w:ilvl w:val="0"/>
          <w:numId w:val="2"/>
        </w:numPr>
        <w:spacing w:before="60" w:after="60"/>
      </w:pPr>
      <w:r>
        <w:rPr>
          <w:rFonts w:ascii="Arial" w:cs="Arial" w:eastAsia="Arial" w:hAnsi="Arial"/>
          <w:color w:val="1C2833"/>
          <w:sz w:val="22"/>
          <w:szCs w:val="22"/>
        </w:rPr>
        <w:t xml:space="preserve">Market growth trajectory with key inflection points (SLM maturity, enterprise AI adoption curve)</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Anchor sizing with credible third-party data. Emphasize that Carbon Amber is not competing in any single vertical market — it is a horizontal platform play. Every vertical that adopts agentic AI is addressable.</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6</w:t>
      </w:r>
    </w:p>
    <w:p>
      <w:pPr>
        <w:pStyle w:val="Heading1"/>
        <w:spacing w:after="200"/>
      </w:pPr>
      <w:r>
        <w:rPr>
          <w:rFonts w:ascii="Arial" w:cs="Arial" w:eastAsia="Arial" w:hAnsi="Arial"/>
          <w:b/>
          <w:bCs/>
          <w:color w:val="1B4F72"/>
          <w:sz w:val="36"/>
          <w:szCs w:val="36"/>
        </w:rPr>
        <w:t xml:space="preserve">Traction and Proof Points</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"Proven in Production. Built to Scale."</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Platform maturity: Carbon Amber is at version 2.3, with iterative refinements including structured resource tracking with ref ID provenance, DAG-based execution planning, institutional memory via the Memory Agent, and a unified Execution Agent with MCP tool-calling interface.</w:t>
      </w:r>
    </w:p>
    <w:p>
      <w:pPr>
        <w:pStyle w:val="ListParagraph"/>
        <w:numPr>
          <w:ilvl w:val="0"/>
          <w:numId w:val="2"/>
        </w:numPr>
        <w:spacing w:before="60" w:after="60"/>
      </w:pPr>
      <w:r>
        <w:rPr>
          <w:rFonts w:ascii="Arial" w:cs="Arial" w:eastAsia="Arial" w:hAnsi="Arial"/>
          <w:color w:val="1C2833"/>
          <w:sz w:val="22"/>
          <w:szCs w:val="22"/>
        </w:rPr>
        <w:t xml:space="preserve">Live enterprise deployment: the platform is deployed in production for a government defence agency, processing complex multi-modal analysis workflows autonomously — proving both technical feasibility and suitability for high-assurance environments.</w:t>
      </w:r>
    </w:p>
    <w:p>
      <w:pPr>
        <w:pStyle w:val="ListParagraph"/>
        <w:numPr>
          <w:ilvl w:val="0"/>
          <w:numId w:val="2"/>
        </w:numPr>
        <w:spacing w:before="60" w:after="60"/>
      </w:pPr>
      <w:r>
        <w:rPr>
          <w:rFonts w:ascii="Arial" w:cs="Arial" w:eastAsia="Arial" w:hAnsi="Arial"/>
          <w:color w:val="1C2833"/>
          <w:sz w:val="22"/>
          <w:szCs w:val="22"/>
        </w:rPr>
        <w:t xml:space="preserve">Technology validation: proven integration stack including n8n orchestration, Redis caching (targeting 90%+ cache hit rates for agent instantiation), Elasticsearch indexing, Wasabi storage, and Sentient proprietary models.</w:t>
      </w:r>
    </w:p>
    <w:p>
      <w:pPr>
        <w:pStyle w:val="ListParagraph"/>
        <w:numPr>
          <w:ilvl w:val="0"/>
          <w:numId w:val="2"/>
        </w:numPr>
        <w:spacing w:before="60" w:after="60"/>
      </w:pPr>
      <w:r>
        <w:rPr>
          <w:rFonts w:ascii="Arial" w:cs="Arial" w:eastAsia="Arial" w:hAnsi="Arial"/>
          <w:color w:val="1C2833"/>
          <w:sz w:val="22"/>
          <w:szCs w:val="22"/>
        </w:rPr>
        <w:t xml:space="preserve">Governance and auditability built in from day one: full chain-of-thought audit trails, immutable logging, session tracking with transaction IDs, and circuit breaker protection — features that enterprise and government customers require.</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Platform version timeline showing rapid iteration cadence (v1.0 Jan 2026 → v2.3 Feb 2026)</w:t>
      </w:r>
    </w:p>
    <w:p>
      <w:pPr>
        <w:pStyle w:val="ListParagraph"/>
        <w:numPr>
          <w:ilvl w:val="0"/>
          <w:numId w:val="2"/>
        </w:numPr>
        <w:spacing w:before="60" w:after="60"/>
      </w:pPr>
      <w:r>
        <w:rPr>
          <w:rFonts w:ascii="Arial" w:cs="Arial" w:eastAsia="Arial" w:hAnsi="Arial"/>
          <w:color w:val="1C2833"/>
          <w:sz w:val="22"/>
          <w:szCs w:val="22"/>
        </w:rPr>
        <w:t xml:space="preserve">Key metrics dashboard: agent chain completion rates, cache hit rates, processing throughput</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Investors want proof this is not vapourware. The defence deployment proves the platform works in a high-bar, compliance-heavy environment. The rapid version cadence (4 major releases in 4 weeks) demonstrates engineering velocity and customer-driven iteration.</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7</w:t>
      </w:r>
    </w:p>
    <w:p>
      <w:pPr>
        <w:pStyle w:val="Heading1"/>
        <w:spacing w:after="200"/>
      </w:pPr>
      <w:r>
        <w:rPr>
          <w:rFonts w:ascii="Arial" w:cs="Arial" w:eastAsia="Arial" w:hAnsi="Arial"/>
          <w:b/>
          <w:bCs/>
          <w:color w:val="1B4F72"/>
          <w:sz w:val="36"/>
          <w:szCs w:val="36"/>
        </w:rPr>
        <w:t xml:space="preserve">Business Model</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"Platform Revenue with Compounding Vertical Expansion"</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Platform licensing: enterprise customers license the Carbon Amber platform with application-specific configurations deployed on their infrastructure (on-premise or private cloud) or as a managed service.</w:t>
      </w:r>
    </w:p>
    <w:p>
      <w:pPr>
        <w:pStyle w:val="ListParagraph"/>
        <w:numPr>
          <w:ilvl w:val="0"/>
          <w:numId w:val="2"/>
        </w:numPr>
        <w:spacing w:before="60" w:after="60"/>
      </w:pPr>
      <w:r>
        <w:rPr>
          <w:rFonts w:ascii="Arial" w:cs="Arial" w:eastAsia="Arial" w:hAnsi="Arial"/>
          <w:color w:val="1C2833"/>
          <w:sz w:val="22"/>
          <w:szCs w:val="22"/>
        </w:rPr>
        <w:t xml:space="preserve">SLM-first cost advantage: running Llama-3-8B and Qwen-2.5-7B by default — with escalation to GPT-4 or Claude only when necessary — reduces per-transaction cost by an order of magnitude versus competitors that route everything through large models.</w:t>
      </w:r>
    </w:p>
    <w:p>
      <w:pPr>
        <w:pStyle w:val="ListParagraph"/>
        <w:numPr>
          <w:ilvl w:val="0"/>
          <w:numId w:val="2"/>
        </w:numPr>
        <w:spacing w:before="60" w:after="60"/>
      </w:pPr>
      <w:r>
        <w:rPr>
          <w:rFonts w:ascii="Arial" w:cs="Arial" w:eastAsia="Arial" w:hAnsi="Arial"/>
          <w:color w:val="1C2833"/>
          <w:sz w:val="22"/>
          <w:szCs w:val="22"/>
        </w:rPr>
        <w:t xml:space="preserve">Vertical expansion revenue: each new application configuration is incremental revenue with minimal marginal development cost. The universal platform is already built; new verticals require only an application.md file and Executional Core agent definitions.</w:t>
      </w:r>
    </w:p>
    <w:p>
      <w:pPr>
        <w:pStyle w:val="ListParagraph"/>
        <w:numPr>
          <w:ilvl w:val="0"/>
          <w:numId w:val="2"/>
        </w:numPr>
        <w:spacing w:before="60" w:after="60"/>
      </w:pPr>
      <w:r>
        <w:rPr>
          <w:rFonts w:ascii="Arial" w:cs="Arial" w:eastAsia="Arial" w:hAnsi="Arial"/>
          <w:color w:val="1C2833"/>
          <w:sz w:val="22"/>
          <w:szCs w:val="22"/>
        </w:rPr>
        <w:t xml:space="preserve">Professional services: custom Executional Core agent development, enterprise integration, MCP tool server development, and training for client teams building their own applications on the platform.</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Revenue model diagram: platform license + per-vertical expansion + professional services</w:t>
      </w:r>
    </w:p>
    <w:p>
      <w:pPr>
        <w:pStyle w:val="ListParagraph"/>
        <w:numPr>
          <w:ilvl w:val="0"/>
          <w:numId w:val="2"/>
        </w:numPr>
        <w:spacing w:before="60" w:after="60"/>
      </w:pPr>
      <w:r>
        <w:rPr>
          <w:rFonts w:ascii="Arial" w:cs="Arial" w:eastAsia="Arial" w:hAnsi="Arial"/>
          <w:color w:val="1C2833"/>
          <w:sz w:val="22"/>
          <w:szCs w:val="22"/>
        </w:rPr>
        <w:t xml:space="preserve">Unit economics comparison: SLM-first approach versus large-model-only competitors (cost per 1,000 agent transactions)</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The cost moat is critical. Emphasize that SLM-first is not a compromise — Carbon Amber's structured prompt engineering architecture is specifically designed to extract maximum performance from smaller models through clear, constrained agent definitions. This is an architectural advantage, not a trade-off.</w:t>
      </w:r>
    </w:p>
    <w:p>
      <w:pPr>
        <w:pBdr>
          <w:bottom w:val="single" w:color="2E86C1" w:sz="4" w:space="1"/>
        </w:pBdr>
        <w:spacing w:before="200" w:after="200"/>
      </w:pPr>
    </w:p>
    <w:p>
      <w:pPr>
        <w:spacing w:before="360" w:after="80"/>
      </w:pPr>
      <w:r>
        <w:rPr>
          <w:rFonts w:ascii="Arial" w:cs="Arial" w:eastAsia="Arial" w:hAnsi="Arial"/>
          <w:b/>
          <w:bCs/>
          <w:color w:val="2E86C1"/>
          <w:sz w:val="18"/>
          <w:szCs w:val="18"/>
        </w:rPr>
        <w:t xml:space="preserve">SLIDE 8</w:t>
      </w:r>
    </w:p>
    <w:p>
      <w:pPr>
        <w:pStyle w:val="Heading1"/>
        <w:spacing w:after="200"/>
      </w:pPr>
      <w:r>
        <w:rPr>
          <w:rFonts w:ascii="Arial" w:cs="Arial" w:eastAsia="Arial" w:hAnsi="Arial"/>
          <w:b/>
          <w:bCs/>
          <w:color w:val="1B4F72"/>
          <w:sz w:val="36"/>
          <w:szCs w:val="36"/>
        </w:rPr>
        <w:t xml:space="preserve">The Ask</w:t>
      </w:r>
    </w:p>
    <w:p>
      <w:pPr>
        <w:pStyle w:val="Heading2"/>
        <w:spacing w:before="200" w:after="120"/>
      </w:pPr>
      <w:r>
        <w:rPr>
          <w:rFonts w:ascii="Arial" w:cs="Arial" w:eastAsia="Arial" w:hAnsi="Arial"/>
          <w:b/>
          <w:bCs/>
          <w:color w:val="2E86C1"/>
          <w:sz w:val="26"/>
          <w:szCs w:val="26"/>
        </w:rPr>
        <w:t xml:space="preserve">Slide Title</w:t>
      </w:r>
    </w:p>
    <w:p>
      <w:pPr>
        <w:spacing w:before="80" w:after="80"/>
      </w:pPr>
      <w:r>
        <w:rPr>
          <w:rFonts w:ascii="Arial" w:cs="Arial" w:eastAsia="Arial" w:hAnsi="Arial"/>
          <w:color w:val="1C2833"/>
          <w:sz w:val="22"/>
          <w:szCs w:val="22"/>
        </w:rPr>
        <w:t xml:space="preserve">"Scaling the Enterprise Agentic AI Standard"</w:t>
      </w:r>
    </w:p>
    <w:p>
      <w:pPr>
        <w:pStyle w:val="Heading2"/>
        <w:spacing w:before="200" w:after="120"/>
      </w:pPr>
      <w:r>
        <w:rPr>
          <w:rFonts w:ascii="Arial" w:cs="Arial" w:eastAsia="Arial" w:hAnsi="Arial"/>
          <w:b/>
          <w:bCs/>
          <w:color w:val="2E86C1"/>
          <w:sz w:val="26"/>
          <w:szCs w:val="26"/>
        </w:rPr>
        <w:t xml:space="preserve">Key Messages</w:t>
      </w:r>
    </w:p>
    <w:p>
      <w:pPr>
        <w:pStyle w:val="ListParagraph"/>
        <w:numPr>
          <w:ilvl w:val="0"/>
          <w:numId w:val="2"/>
        </w:numPr>
        <w:spacing w:before="60" w:after="60"/>
      </w:pPr>
      <w:r>
        <w:rPr>
          <w:rFonts w:ascii="Arial" w:cs="Arial" w:eastAsia="Arial" w:hAnsi="Arial"/>
          <w:color w:val="1C2833"/>
          <w:sz w:val="22"/>
          <w:szCs w:val="22"/>
        </w:rPr>
        <w:t xml:space="preserve">Investment amount: $XX million [Series X] to fund platform scaling, multi-vertical expansion, and go-to-market acceleration.</w:t>
      </w:r>
    </w:p>
    <w:p>
      <w:pPr>
        <w:pStyle w:val="ListParagraph"/>
        <w:numPr>
          <w:ilvl w:val="0"/>
          <w:numId w:val="2"/>
        </w:numPr>
        <w:spacing w:before="60" w:after="60"/>
      </w:pPr>
      <w:r>
        <w:rPr>
          <w:rFonts w:ascii="Arial" w:cs="Arial" w:eastAsia="Arial" w:hAnsi="Arial"/>
          <w:color w:val="1C2833"/>
          <w:sz w:val="22"/>
          <w:szCs w:val="22"/>
        </w:rPr>
        <w:t xml:space="preserve">Use of funds: (1) Engineering — expand the agent library, capability matrix, and MCP tool ecosystem; build multi-tenant SaaS infrastructure on the ARL orchestration engine. (2) Go-to-market — enterprise sales team for government, defence, financial services, and technology verticals across APAC. (3) Proprietary models — continued development of Sentient-built models for sentiment, emotion, stance analysis, and deepfake detection.</w:t>
      </w:r>
    </w:p>
    <w:p>
      <w:pPr>
        <w:pStyle w:val="ListParagraph"/>
        <w:numPr>
          <w:ilvl w:val="0"/>
          <w:numId w:val="2"/>
        </w:numPr>
        <w:spacing w:before="60" w:after="60"/>
      </w:pPr>
      <w:r>
        <w:rPr>
          <w:rFonts w:ascii="Arial" w:cs="Arial" w:eastAsia="Arial" w:hAnsi="Arial"/>
          <w:color w:val="1C2833"/>
          <w:sz w:val="22"/>
          <w:szCs w:val="22"/>
        </w:rPr>
        <w:t xml:space="preserve">Key milestones: X new vertical deployments within 18 months, $X ARR target, X enterprise customers, multi-tenant SaaS generally available.</w:t>
      </w:r>
    </w:p>
    <w:p>
      <w:pPr>
        <w:pStyle w:val="ListParagraph"/>
        <w:numPr>
          <w:ilvl w:val="0"/>
          <w:numId w:val="2"/>
        </w:numPr>
        <w:spacing w:before="60" w:after="60"/>
      </w:pPr>
      <w:r>
        <w:rPr>
          <w:rFonts w:ascii="Arial" w:cs="Arial" w:eastAsia="Arial" w:hAnsi="Arial"/>
          <w:color w:val="1C2833"/>
          <w:sz w:val="22"/>
          <w:szCs w:val="22"/>
        </w:rPr>
        <w:t xml:space="preserve">Vision: Carbon Amber becomes the standard operating platform for enterprise agentic AI — the governed, auditable, application-agnostic layer that every enterprise deploys to run autonomous intelligent workflows at scale.</w:t>
      </w:r>
    </w:p>
    <w:p>
      <w:pPr>
        <w:pStyle w:val="Heading2"/>
        <w:spacing w:before="200" w:after="120"/>
      </w:pPr>
      <w:r>
        <w:rPr>
          <w:rFonts w:ascii="Arial" w:cs="Arial" w:eastAsia="Arial" w:hAnsi="Arial"/>
          <w:b/>
          <w:bCs/>
          <w:color w:val="2E86C1"/>
          <w:sz w:val="26"/>
          <w:szCs w:val="26"/>
        </w:rPr>
        <w:t xml:space="preserve">Suggested Visuals</w:t>
      </w:r>
    </w:p>
    <w:p>
      <w:pPr>
        <w:pStyle w:val="ListParagraph"/>
        <w:numPr>
          <w:ilvl w:val="0"/>
          <w:numId w:val="2"/>
        </w:numPr>
        <w:spacing w:before="60" w:after="60"/>
      </w:pPr>
      <w:r>
        <w:rPr>
          <w:rFonts w:ascii="Arial" w:cs="Arial" w:eastAsia="Arial" w:hAnsi="Arial"/>
          <w:color w:val="1C2833"/>
          <w:sz w:val="22"/>
          <w:szCs w:val="22"/>
        </w:rPr>
        <w:t xml:space="preserve">Use of funds allocation pie chart</w:t>
      </w:r>
    </w:p>
    <w:p>
      <w:pPr>
        <w:pStyle w:val="ListParagraph"/>
        <w:numPr>
          <w:ilvl w:val="0"/>
          <w:numId w:val="2"/>
        </w:numPr>
        <w:spacing w:before="60" w:after="60"/>
      </w:pPr>
      <w:r>
        <w:rPr>
          <w:rFonts w:ascii="Arial" w:cs="Arial" w:eastAsia="Arial" w:hAnsi="Arial"/>
          <w:color w:val="1C2833"/>
          <w:sz w:val="22"/>
          <w:szCs w:val="22"/>
        </w:rPr>
        <w:t xml:space="preserve">18-month milestone roadmap with clear targets and vertical launch dates</w:t>
      </w:r>
    </w:p>
    <w:p>
      <w:pPr>
        <w:spacing w:before="120" w:after="60"/>
      </w:pPr>
      <w:r>
        <w:rPr>
          <w:rFonts w:ascii="Arial" w:cs="Arial" w:eastAsia="Arial" w:hAnsi="Arial"/>
          <w:b/>
          <w:bCs/>
          <w:color w:val="2E86C1"/>
          <w:sz w:val="20"/>
          <w:szCs w:val="20"/>
        </w:rPr>
        <w:t xml:space="preserve">Speaker Notes: </w:t>
      </w:r>
      <w:r>
        <w:rPr>
          <w:rFonts w:ascii="Arial" w:cs="Arial" w:eastAsia="Arial" w:hAnsi="Arial"/>
          <w:i/>
          <w:iCs/>
          <w:color w:val="7F8C8D"/>
          <w:sz w:val="20"/>
          <w:szCs w:val="20"/>
        </w:rPr>
        <w:t xml:space="preserve">Close with conviction. Restate the core thesis: enterprises need AI agents that are governed, auditable, and deployable across any use case without rebuilding from scratch. Carbon Amber is that platform — proven in production, cost-efficient by architecture, and designed to scale across every vertical that needs intelligent automation.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Sentient.io  |  Carbon Amber Platform</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2026-02-22T15:49:36.006Z</dcterms:created>
  <dcterms:modified xsi:type="dcterms:W3CDTF">2026-02-22T15:49:36.007Z</dcterms:modified>
</cp:coreProperties>
</file>

<file path=docProps/custom.xml><?xml version="1.0" encoding="utf-8"?>
<Properties xmlns="http://schemas.openxmlformats.org/officeDocument/2006/custom-properties" xmlns:vt="http://schemas.openxmlformats.org/officeDocument/2006/docPropsVTypes"/>
</file>