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jc w:val="center"/>
      </w:pPr>
      <w:r>
        <w:drawing>
          <wp:inline distT="0" distB="0" distL="0" distR="0">
            <wp:extent cx="2667000" cy="571500"/>
            <wp:effectExtent t="0" r="0" b="0" l="0"/>
            <wp:docPr id="1" name="sentient-logo" descr="Sentient.io company logo" title="Sentient.io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571500"/>
                    </a:xfrm>
                    <a:prstGeom prst="rect">
                      <a:avLst/>
                    </a:prstGeom>
                  </pic:spPr>
                </pic:pic>
              </a:graphicData>
            </a:graphic>
          </wp:inline>
        </w:drawing>
      </w:r>
    </w:p>
    <w:p>
      <w:pPr>
        <w:spacing w:before="600" w:after="0"/>
      </w:pPr>
    </w:p>
    <w:p>
      <w:pPr>
        <w:spacing w:after="200"/>
        <w:jc w:val="center"/>
      </w:pPr>
      <w:r>
        <w:rPr>
          <w:rFonts w:ascii="Arial" w:cs="Arial" w:eastAsia="Arial" w:hAnsi="Arial"/>
          <w:b/>
          <w:bCs/>
          <w:color w:val="A00202"/>
          <w:sz w:val="72"/>
          <w:szCs w:val="72"/>
        </w:rPr>
        <w:t xml:space="preserve">Carbon Amber</w:t>
      </w:r>
    </w:p>
    <w:p>
      <w:pPr>
        <w:spacing w:after="120"/>
        <w:jc w:val="center"/>
      </w:pPr>
      <w:r>
        <w:rPr>
          <w:rFonts w:ascii="Arial" w:cs="Arial" w:eastAsia="Arial" w:hAnsi="Arial"/>
          <w:color w:val="424143"/>
          <w:sz w:val="44"/>
          <w:szCs w:val="44"/>
        </w:rPr>
        <w:t xml:space="preserve">Agentic AI Platform</w:t>
      </w:r>
    </w:p>
    <w:p>
      <w:pPr>
        <w:spacing w:before="200" w:after="0"/>
      </w:pPr>
    </w:p>
    <w:p>
      <w:pPr>
        <w:spacing w:after="80"/>
        <w:jc w:val="center"/>
      </w:pPr>
      <w:r>
        <w:rPr>
          <w:rFonts w:ascii="Arial" w:cs="Arial" w:eastAsia="Arial" w:hAnsi="Arial"/>
          <w:i/>
          <w:iCs/>
          <w:color w:val="424143"/>
          <w:sz w:val="26"/>
          <w:szCs w:val="26"/>
        </w:rPr>
        <w:t xml:space="preserve">An application-agnostic framework for building</w:t>
      </w:r>
    </w:p>
    <w:p>
      <w:pPr>
        <w:spacing w:after="80"/>
        <w:jc w:val="center"/>
      </w:pPr>
      <w:r>
        <w:rPr>
          <w:rFonts w:ascii="Arial" w:cs="Arial" w:eastAsia="Arial" w:hAnsi="Arial"/>
          <w:i/>
          <w:iCs/>
          <w:color w:val="424143"/>
          <w:sz w:val="26"/>
          <w:szCs w:val="26"/>
        </w:rPr>
        <w:t xml:space="preserve">governed, auditable, multi-agent AI systems</w:t>
      </w:r>
    </w:p>
    <w:p>
      <w:pPr>
        <w:spacing w:before="1200" w:after="0"/>
      </w:pPr>
    </w:p>
    <w:p>
      <w:pPr>
        <w:pBdr>
          <w:bottom w:val="single" w:color="A00202" w:sz="6" w:space="1"/>
        </w:pBdr>
        <w:spacing w:before="200" w:after="200"/>
      </w:pPr>
    </w:p>
    <w:p>
      <w:pPr>
        <w:jc w:val="center"/>
      </w:pPr>
      <w:r>
        <w:rPr>
          <w:rFonts w:ascii="Arial" w:cs="Arial" w:eastAsia="Arial" w:hAnsi="Arial"/>
          <w:color w:val="424143"/>
          <w:sz w:val="20"/>
          <w:szCs w:val="20"/>
        </w:rPr>
        <w:t xml:space="preserve">Sentient.io  |  February 2026  |  Confidential</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424143"/>
          <w:sz w:val="44"/>
          <w:szCs w:val="44"/>
        </w:rPr>
        <w:t xml:space="preserve">Executive Summary</w:t>
      </w:r>
    </w:p>
    <w:p>
      <w:pPr>
        <w:spacing w:after="160" w:line="320"/>
        <w:jc w:val="left"/>
      </w:pPr>
      <w:r>
        <w:rPr>
          <w:rFonts w:ascii="Arial" w:cs="Arial" w:eastAsia="Arial" w:hAnsi="Arial"/>
          <w:color w:val="424143"/>
          <w:sz w:val="24"/>
          <w:szCs w:val="24"/>
        </w:rPr>
        <w:t xml:space="preserve">Carbon Amber is Sentient.io’s agentic AI platform — a modular architecture that orchestrates multiple specialised AI agents to process complex requests end-to-end, with full governance, auditability, and traceability built in from the ground up.</w:t>
      </w:r>
    </w:p>
    <w:p>
      <w:pPr>
        <w:spacing w:after="160" w:line="320"/>
        <w:jc w:val="left"/>
      </w:pPr>
      <w:r>
        <w:rPr>
          <w:rFonts w:ascii="Arial" w:cs="Arial" w:eastAsia="Arial" w:hAnsi="Arial"/>
          <w:color w:val="424143"/>
          <w:sz w:val="24"/>
          <w:szCs w:val="24"/>
        </w:rPr>
        <w:t xml:space="preserve">Unlike monolithic AI solutions that lock you into a single model or vendor, Carbon Amber separates intelligence from infrastructure. You define what your agents should do (the Agent Definition Layer), and a runtime engine handles how they execute (the Agent Runtime Layer). The result is a system that is reusable across different business applications, auditable at every step, and optimised for cost by defaulting to smaller language models.</w:t>
      </w:r>
    </w:p>
    <w:p>
      <w:pPr>
        <w:spacing w:after="160" w:line="320"/>
        <w:jc w:val="left"/>
      </w:pPr>
      <w:r>
        <w:rPr>
          <w:rFonts w:ascii="Arial" w:cs="Arial" w:eastAsia="Arial" w:hAnsi="Arial"/>
          <w:color w:val="424143"/>
          <w:sz w:val="24"/>
          <w:szCs w:val="24"/>
        </w:rPr>
        <w:t xml:space="preserve">Whether you need to analyse video content, process documents, monitor social media, or build entirely new AI workflows, Carbon Amber provides the governed, scalable foundation to do it.</w:t>
      </w:r>
    </w:p>
    <w:p>
      <w:pPr>
        <w:pBdr>
          <w:bottom w:val="single" w:color="A00202" w:sz="6" w:space="1"/>
        </w:pBdr>
        <w:spacing w:before="200" w:after="200"/>
      </w:pPr>
    </w:p>
    <w:p>
      <w:pPr>
        <w:pStyle w:val="Heading1"/>
        <w:spacing w:before="360" w:after="200"/>
      </w:pPr>
      <w:r>
        <w:rPr>
          <w:rFonts w:ascii="Arial" w:cs="Arial" w:eastAsia="Arial" w:hAnsi="Arial"/>
          <w:b/>
          <w:bCs/>
          <w:color w:val="424143"/>
          <w:sz w:val="44"/>
          <w:szCs w:val="44"/>
        </w:rPr>
        <w:t xml:space="preserve">The Challenge</w:t>
      </w:r>
    </w:p>
    <w:p>
      <w:pPr>
        <w:spacing w:after="160" w:line="320"/>
        <w:jc w:val="left"/>
      </w:pPr>
      <w:r>
        <w:rPr>
          <w:rFonts w:ascii="Arial" w:cs="Arial" w:eastAsia="Arial" w:hAnsi="Arial"/>
          <w:color w:val="424143"/>
          <w:sz w:val="24"/>
          <w:szCs w:val="24"/>
        </w:rPr>
        <w:t xml:space="preserve">Enterprises adopting AI face a recurring set of problems:</w:t>
      </w:r>
    </w:p>
    <w:p>
      <w:pPr>
        <w:pStyle w:val="ListParagraph"/>
        <w:numPr>
          <w:ilvl w:val="0"/>
          <w:numId w:val="2"/>
        </w:numPr>
        <w:spacing w:after="100" w:line="320"/>
      </w:pPr>
      <w:r>
        <w:rPr>
          <w:rFonts w:ascii="Arial" w:cs="Arial" w:eastAsia="Arial" w:hAnsi="Arial"/>
          <w:b/>
          <w:bCs/>
          <w:color w:val="424143"/>
          <w:sz w:val="24"/>
          <w:szCs w:val="24"/>
        </w:rPr>
        <w:t xml:space="preserve">Lack of transparency. </w:t>
      </w:r>
      <w:r>
        <w:rPr>
          <w:rFonts w:ascii="Arial" w:cs="Arial" w:eastAsia="Arial" w:hAnsi="Arial"/>
          <w:color w:val="424143"/>
          <w:sz w:val="24"/>
          <w:szCs w:val="24"/>
        </w:rPr>
        <w:t xml:space="preserve">Most AI systems operate as black boxes. When something goes wrong, there is no audit trail explaining what happened or why.</w:t>
      </w:r>
    </w:p>
    <w:p>
      <w:pPr>
        <w:pStyle w:val="ListParagraph"/>
        <w:numPr>
          <w:ilvl w:val="0"/>
          <w:numId w:val="2"/>
        </w:numPr>
        <w:spacing w:after="100" w:line="320"/>
      </w:pPr>
      <w:r>
        <w:rPr>
          <w:rFonts w:ascii="Arial" w:cs="Arial" w:eastAsia="Arial" w:hAnsi="Arial"/>
          <w:b/>
          <w:bCs/>
          <w:color w:val="424143"/>
          <w:sz w:val="24"/>
          <w:szCs w:val="24"/>
        </w:rPr>
        <w:t xml:space="preserve">Vendor lock-in. </w:t>
      </w:r>
      <w:r>
        <w:rPr>
          <w:rFonts w:ascii="Arial" w:cs="Arial" w:eastAsia="Arial" w:hAnsi="Arial"/>
          <w:color w:val="424143"/>
          <w:sz w:val="24"/>
          <w:szCs w:val="24"/>
        </w:rPr>
        <w:t xml:space="preserve">Solutions are tightly coupled to specific models, cloud providers, or use cases, making it costly to switch or expand.</w:t>
      </w:r>
    </w:p>
    <w:p>
      <w:pPr>
        <w:pStyle w:val="ListParagraph"/>
        <w:numPr>
          <w:ilvl w:val="0"/>
          <w:numId w:val="2"/>
        </w:numPr>
        <w:spacing w:after="100" w:line="320"/>
      </w:pPr>
      <w:r>
        <w:rPr>
          <w:rFonts w:ascii="Arial" w:cs="Arial" w:eastAsia="Arial" w:hAnsi="Arial"/>
          <w:b/>
          <w:bCs/>
          <w:color w:val="424143"/>
          <w:sz w:val="24"/>
          <w:szCs w:val="24"/>
        </w:rPr>
        <w:t xml:space="preserve">No governance. </w:t>
      </w:r>
      <w:r>
        <w:rPr>
          <w:rFonts w:ascii="Arial" w:cs="Arial" w:eastAsia="Arial" w:hAnsi="Arial"/>
          <w:color w:val="424143"/>
          <w:sz w:val="24"/>
          <w:szCs w:val="24"/>
        </w:rPr>
        <w:t xml:space="preserve">There are few mechanisms to enforce compliance policies, data handling rules, or operational standards across AI workflows.</w:t>
      </w:r>
    </w:p>
    <w:p>
      <w:pPr>
        <w:pStyle w:val="ListParagraph"/>
        <w:numPr>
          <w:ilvl w:val="0"/>
          <w:numId w:val="2"/>
        </w:numPr>
        <w:spacing w:after="100" w:line="320"/>
      </w:pPr>
      <w:r>
        <w:rPr>
          <w:rFonts w:ascii="Arial" w:cs="Arial" w:eastAsia="Arial" w:hAnsi="Arial"/>
          <w:b/>
          <w:bCs/>
          <w:color w:val="424143"/>
          <w:sz w:val="24"/>
          <w:szCs w:val="24"/>
        </w:rPr>
        <w:t xml:space="preserve">Fragile scaling. </w:t>
      </w:r>
      <w:r>
        <w:rPr>
          <w:rFonts w:ascii="Arial" w:cs="Arial" w:eastAsia="Arial" w:hAnsi="Arial"/>
          <w:color w:val="424143"/>
          <w:sz w:val="24"/>
          <w:szCs w:val="24"/>
        </w:rPr>
        <w:t xml:space="preserve">Adding a new capability or application often means rebuilding the system from scratch.</w:t>
      </w:r>
    </w:p>
    <w:p>
      <w:pPr>
        <w:spacing w:after="160" w:line="320"/>
        <w:jc w:val="left"/>
      </w:pPr>
      <w:r>
        <w:rPr>
          <w:rFonts w:ascii="Arial" w:cs="Arial" w:eastAsia="Arial" w:hAnsi="Arial"/>
          <w:color w:val="424143"/>
          <w:sz w:val="24"/>
          <w:szCs w:val="24"/>
        </w:rPr>
        <w:t xml:space="preserve">Carbon Amber was designed to solve each of these challenges through a principled, layered architecture.</w:t>
      </w:r>
    </w:p>
    <w:p>
      <w:pPr>
        <w:pBdr>
          <w:bottom w:val="single" w:color="A00202" w:sz="6" w:space="1"/>
        </w:pBdr>
        <w:spacing w:before="200" w:after="200"/>
      </w:pPr>
    </w:p>
    <w:p>
      <w:pPr>
        <w:pStyle w:val="Heading1"/>
        <w:spacing w:before="360" w:after="200"/>
      </w:pPr>
      <w:r>
        <w:rPr>
          <w:rFonts w:ascii="Arial" w:cs="Arial" w:eastAsia="Arial" w:hAnsi="Arial"/>
          <w:b/>
          <w:bCs/>
          <w:color w:val="424143"/>
          <w:sz w:val="44"/>
          <w:szCs w:val="44"/>
        </w:rPr>
        <w:t xml:space="preserve">How Carbon Amber Works</w:t>
      </w:r>
    </w:p>
    <w:p>
      <w:pPr>
        <w:spacing w:after="160" w:line="320"/>
        <w:jc w:val="left"/>
      </w:pPr>
      <w:r>
        <w:rPr>
          <w:rFonts w:ascii="Arial" w:cs="Arial" w:eastAsia="Arial" w:hAnsi="Arial"/>
          <w:color w:val="424143"/>
          <w:sz w:val="24"/>
          <w:szCs w:val="24"/>
        </w:rPr>
        <w:t xml:space="preserve">At its core, Carbon Amber is a chain of specialised AI agents that work together to fulfil a user request. Each agent has a clearly defined role, communicates through a standardised message format, and is subject to governance policies that cannot be overridden.</w:t>
      </w:r>
    </w:p>
    <w:p>
      <w:pPr>
        <w:pStyle w:val="Heading2"/>
        <w:spacing w:before="280" w:after="160"/>
      </w:pPr>
      <w:r>
        <w:rPr>
          <w:rFonts w:ascii="Arial" w:cs="Arial" w:eastAsia="Arial" w:hAnsi="Arial"/>
          <w:b/>
          <w:bCs/>
          <w:color w:val="424143"/>
          <w:sz w:val="32"/>
          <w:szCs w:val="32"/>
        </w:rPr>
        <w:t xml:space="preserve">The Two-Layer Architecture</w:t>
      </w:r>
    </w:p>
    <w:p>
      <w:pPr>
        <w:spacing w:after="160" w:line="320"/>
        <w:jc w:val="left"/>
      </w:pPr>
      <w:r>
        <w:rPr>
          <w:rFonts w:ascii="Arial" w:cs="Arial" w:eastAsia="Arial" w:hAnsi="Arial"/>
          <w:color w:val="424143"/>
          <w:sz w:val="24"/>
          <w:szCs w:val="24"/>
        </w:rPr>
        <w:t xml:space="preserve">Carbon Amber cleanly separates concerns into two layers: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A00202" w:val="clear"/>
            <w:tcMar>
              <w:top w:type="dxa" w:w="80"/>
              <w:left w:type="dxa" w:w="120"/>
              <w:bottom w:type="dxa" w:w="80"/>
              <w:right w:type="dxa" w:w="120"/>
            </w:tcMar>
            <w:vAlign w:val="center"/>
          </w:tcPr>
          <w:p>
            <w:r>
              <w:rPr>
                <w:rFonts w:ascii="Arial" w:cs="Arial" w:eastAsia="Arial" w:hAnsi="Arial"/>
                <w:b/>
                <w:bCs/>
                <w:color w:val="FFFFFF"/>
                <w:sz w:val="22"/>
                <w:szCs w:val="22"/>
              </w:rPr>
              <w:t xml:space="preserve"/>
            </w:r>
          </w:p>
        </w:tc>
        <w:tc>
          <w:tcPr>
            <w:tcW w:type="dxa" w:w="3580"/>
            <w:tcBorders>
              <w:top w:val="single" w:color="CCCCCC" w:sz="1"/>
              <w:left w:val="single" w:color="CCCCCC" w:sz="1"/>
              <w:bottom w:val="single" w:color="CCCCCC" w:sz="1"/>
              <w:right w:val="single" w:color="CCCCCC" w:sz="1"/>
            </w:tcBorders>
            <w:shd w:fill="A00202" w:val="clear"/>
            <w:tcMar>
              <w:top w:type="dxa" w:w="80"/>
              <w:left w:type="dxa" w:w="120"/>
              <w:bottom w:type="dxa" w:w="80"/>
              <w:right w:type="dxa" w:w="120"/>
            </w:tcMar>
            <w:vAlign w:val="center"/>
          </w:tcPr>
          <w:p>
            <w:r>
              <w:rPr>
                <w:rFonts w:ascii="Arial" w:cs="Arial" w:eastAsia="Arial" w:hAnsi="Arial"/>
                <w:b/>
                <w:bCs/>
                <w:color w:val="FFFFFF"/>
                <w:sz w:val="22"/>
                <w:szCs w:val="22"/>
              </w:rPr>
              <w:t xml:space="preserve">Agent Definition Layer (ADL)</w:t>
            </w:r>
          </w:p>
        </w:tc>
        <w:tc>
          <w:tcPr>
            <w:tcW w:type="dxa" w:w="3580"/>
            <w:tcBorders>
              <w:top w:val="single" w:color="CCCCCC" w:sz="1"/>
              <w:left w:val="single" w:color="CCCCCC" w:sz="1"/>
              <w:bottom w:val="single" w:color="CCCCCC" w:sz="1"/>
              <w:right w:val="single" w:color="CCCCCC" w:sz="1"/>
            </w:tcBorders>
            <w:shd w:fill="A00202" w:val="clear"/>
            <w:tcMar>
              <w:top w:type="dxa" w:w="80"/>
              <w:left w:type="dxa" w:w="120"/>
              <w:bottom w:type="dxa" w:w="80"/>
              <w:right w:type="dxa" w:w="120"/>
            </w:tcMar>
            <w:vAlign w:val="center"/>
          </w:tcPr>
          <w:p>
            <w:r>
              <w:rPr>
                <w:rFonts w:ascii="Arial" w:cs="Arial" w:eastAsia="Arial" w:hAnsi="Arial"/>
                <w:b/>
                <w:bCs/>
                <w:color w:val="FFFFFF"/>
                <w:sz w:val="22"/>
                <w:szCs w:val="22"/>
              </w:rPr>
              <w:t xml:space="preserve">Agent Runtime Layer (ARL)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424143"/>
                <w:sz w:val="22"/>
                <w:szCs w:val="22"/>
              </w:rPr>
              <w:t xml:space="preserve">Purpose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424143"/>
                <w:sz w:val="22"/>
                <w:szCs w:val="22"/>
              </w:rPr>
              <w:t xml:space="preserve">The intelligence — defines what agents do, what rules they follow, and what the application scope is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424143"/>
                <w:sz w:val="22"/>
                <w:szCs w:val="22"/>
              </w:rPr>
              <w:t xml:space="preserve">The infrastructure — loads agent definitions, routes messages, manages sessions, and logs activity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424143"/>
                <w:sz w:val="22"/>
                <w:szCs w:val="22"/>
              </w:rPr>
              <w:t xml:space="preserve">Contains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424143"/>
                <w:sz w:val="22"/>
                <w:szCs w:val="22"/>
              </w:rPr>
              <w:t xml:space="preserve">Agent definitions, governance policies, application context, institutional memory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424143"/>
                <w:sz w:val="22"/>
                <w:szCs w:val="22"/>
              </w:rPr>
              <w:t xml:space="preserve">n8n orchestration workflows, caching (Redis), storage (S3-compatible), audit logging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424143"/>
                <w:sz w:val="22"/>
                <w:szCs w:val="22"/>
              </w:rPr>
              <w:t xml:space="preserve">Changes when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424143"/>
                <w:sz w:val="22"/>
                <w:szCs w:val="22"/>
              </w:rPr>
              <w:t xml:space="preserve">You add a new application, modify governance rules, or refine agent behaviour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424143"/>
                <w:sz w:val="22"/>
                <w:szCs w:val="22"/>
              </w:rPr>
              <w:t xml:space="preserve">Rarely — the runtime is application-agnostic and polymorphic</w:t>
            </w:r>
          </w:p>
        </w:tc>
      </w:tr>
    </w:tbl>
    <w:p>
      <w:pPr>
        <w:spacing w:before="200" w:after="0"/>
      </w:pPr>
    </w:p>
    <w:p>
      <w:pPr>
        <w:pStyle w:val="Heading2"/>
        <w:spacing w:before="280" w:after="160"/>
      </w:pPr>
      <w:r>
        <w:rPr>
          <w:rFonts w:ascii="Arial" w:cs="Arial" w:eastAsia="Arial" w:hAnsi="Arial"/>
          <w:b/>
          <w:bCs/>
          <w:color w:val="424143"/>
          <w:sz w:val="32"/>
          <w:szCs w:val="32"/>
        </w:rPr>
        <w:t xml:space="preserve">The Agent Chain</w:t>
      </w:r>
    </w:p>
    <w:p>
      <w:pPr>
        <w:spacing w:after="160" w:line="320"/>
        <w:jc w:val="left"/>
      </w:pPr>
      <w:r>
        <w:rPr>
          <w:rFonts w:ascii="Arial" w:cs="Arial" w:eastAsia="Arial" w:hAnsi="Arial"/>
          <w:color w:val="424143"/>
          <w:sz w:val="24"/>
          <w:szCs w:val="24"/>
        </w:rPr>
        <w:t xml:space="preserve">When a user submits a request, it flows through a structured chain of agents across three layers: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CCCCCC" w:sz="1"/>
              <w:left w:val="single" w:color="CCCCCC" w:sz="1"/>
              <w:bottom w:val="single" w:color="CCCCCC" w:sz="1"/>
              <w:right w:val="single" w:color="CCCCCC" w:sz="1"/>
            </w:tcBorders>
            <w:shd w:fill="A00202" w:val="clear"/>
            <w:tcMar>
              <w:top w:type="dxa" w:w="80"/>
              <w:left w:type="dxa" w:w="120"/>
              <w:bottom w:type="dxa" w:w="80"/>
              <w:right w:type="dxa" w:w="120"/>
            </w:tcMar>
            <w:vAlign w:val="center"/>
          </w:tcPr>
          <w:p>
            <w:r>
              <w:rPr>
                <w:rFonts w:ascii="Arial" w:cs="Arial" w:eastAsia="Arial" w:hAnsi="Arial"/>
                <w:b/>
                <w:bCs/>
                <w:color w:val="FFFFFF"/>
                <w:sz w:val="22"/>
                <w:szCs w:val="22"/>
              </w:rPr>
              <w:t xml:space="preserve">Layer</w:t>
            </w:r>
          </w:p>
        </w:tc>
        <w:tc>
          <w:tcPr>
            <w:tcW w:type="dxa" w:w="2400"/>
            <w:tcBorders>
              <w:top w:val="single" w:color="CCCCCC" w:sz="1"/>
              <w:left w:val="single" w:color="CCCCCC" w:sz="1"/>
              <w:bottom w:val="single" w:color="CCCCCC" w:sz="1"/>
              <w:right w:val="single" w:color="CCCCCC" w:sz="1"/>
            </w:tcBorders>
            <w:shd w:fill="A00202" w:val="clear"/>
            <w:tcMar>
              <w:top w:type="dxa" w:w="80"/>
              <w:left w:type="dxa" w:w="120"/>
              <w:bottom w:type="dxa" w:w="80"/>
              <w:right w:type="dxa" w:w="120"/>
            </w:tcMar>
            <w:vAlign w:val="center"/>
          </w:tcPr>
          <w:p>
            <w:r>
              <w:rPr>
                <w:rFonts w:ascii="Arial" w:cs="Arial" w:eastAsia="Arial" w:hAnsi="Arial"/>
                <w:b/>
                <w:bCs/>
                <w:color w:val="FFFFFF"/>
                <w:sz w:val="22"/>
                <w:szCs w:val="22"/>
              </w:rPr>
              <w:t xml:space="preserve">Agent</w:t>
            </w:r>
          </w:p>
        </w:tc>
        <w:tc>
          <w:tcPr>
            <w:tcW w:type="dxa" w:w="5360"/>
            <w:tcBorders>
              <w:top w:val="single" w:color="CCCCCC" w:sz="1"/>
              <w:left w:val="single" w:color="CCCCCC" w:sz="1"/>
              <w:bottom w:val="single" w:color="CCCCCC" w:sz="1"/>
              <w:right w:val="single" w:color="CCCCCC" w:sz="1"/>
            </w:tcBorders>
            <w:shd w:fill="A00202" w:val="clear"/>
            <w:tcMar>
              <w:top w:type="dxa" w:w="80"/>
              <w:left w:type="dxa" w:w="120"/>
              <w:bottom w:type="dxa" w:w="80"/>
              <w:right w:type="dxa" w:w="120"/>
            </w:tcMar>
            <w:vAlign w:val="center"/>
          </w:tcPr>
          <w:p>
            <w:r>
              <w:rPr>
                <w:rFonts w:ascii="Arial" w:cs="Arial" w:eastAsia="Arial" w:hAnsi="Arial"/>
                <w:b/>
                <w:bCs/>
                <w:color w:val="FFFFFF"/>
                <w:sz w:val="22"/>
                <w:szCs w:val="22"/>
              </w:rPr>
              <w:t xml:space="preserve">Role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424143"/>
                <w:sz w:val="22"/>
                <w:szCs w:val="22"/>
              </w:rPr>
              <w:t xml:space="preserve">Governance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424143"/>
                <w:sz w:val="22"/>
                <w:szCs w:val="22"/>
              </w:rPr>
              <w:t xml:space="preserve">Objective Agent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424143"/>
                <w:sz w:val="22"/>
                <w:szCs w:val="22"/>
              </w:rPr>
              <w:t xml:space="preserve">Translates the user request into strategic objectives — what needs to be achieved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424143"/>
                <w:sz w:val="22"/>
                <w:szCs w:val="22"/>
              </w:rPr>
              <w:t xml:space="preserve">Governance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424143"/>
                <w:sz w:val="22"/>
                <w:szCs w:val="22"/>
              </w:rPr>
              <w:t xml:space="preserve">Goal Agent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424143"/>
                <w:sz w:val="22"/>
                <w:szCs w:val="22"/>
              </w:rPr>
              <w:t xml:space="preserve">Decomposes objectives into actionable goals — how to achieve them</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424143"/>
                <w:sz w:val="22"/>
                <w:szCs w:val="22"/>
              </w:rPr>
              <w:t xml:space="preserve">Operational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424143"/>
                <w:sz w:val="22"/>
                <w:szCs w:val="22"/>
              </w:rPr>
              <w:t xml:space="preserve">Planning Agent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424143"/>
                <w:sz w:val="22"/>
                <w:szCs w:val="22"/>
              </w:rPr>
              <w:t xml:space="preserve">Produces an execution plan as a directed acyclic graph (DAG) of tasks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424143"/>
                <w:sz w:val="22"/>
                <w:szCs w:val="22"/>
              </w:rPr>
              <w:t xml:space="preserve">Operational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424143"/>
                <w:sz w:val="22"/>
                <w:szCs w:val="22"/>
              </w:rPr>
              <w:t xml:space="preserve">Dispatch Agent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424143"/>
                <w:sz w:val="22"/>
                <w:szCs w:val="22"/>
              </w:rPr>
              <w:t xml:space="preserve">Manages runtime execution, resolving dependencies and dispatching tasks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424143"/>
                <w:sz w:val="22"/>
                <w:szCs w:val="22"/>
              </w:rPr>
              <w:t xml:space="preserve">Executional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424143"/>
                <w:sz w:val="22"/>
                <w:szCs w:val="22"/>
              </w:rPr>
              <w:t xml:space="preserve">Action Agent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424143"/>
                <w:sz w:val="22"/>
                <w:szCs w:val="22"/>
              </w:rPr>
              <w:t xml:space="preserve">Executes specific tasks using tools and models, returns structured results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424143"/>
                <w:sz w:val="22"/>
                <w:szCs w:val="22"/>
              </w:rPr>
              <w:t xml:space="preserve">Operational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424143"/>
                <w:sz w:val="22"/>
                <w:szCs w:val="22"/>
              </w:rPr>
              <w:t xml:space="preserve">Reasoning Agent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424143"/>
                <w:sz w:val="22"/>
                <w:szCs w:val="22"/>
              </w:rPr>
              <w:t xml:space="preserve">Synthesises results across tasks when cross-task inference is needed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424143"/>
                <w:sz w:val="22"/>
                <w:szCs w:val="22"/>
              </w:rPr>
              <w:t xml:space="preserve">Operational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424143"/>
                <w:sz w:val="22"/>
                <w:szCs w:val="22"/>
              </w:rPr>
              <w:t xml:space="preserve">Memory Agent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424143"/>
                <w:sz w:val="22"/>
                <w:szCs w:val="22"/>
              </w:rPr>
              <w:t xml:space="preserve">Captures institutional knowledge — patterns, heuristics, error prevention</w:t>
            </w:r>
          </w:p>
        </w:tc>
      </w:tr>
    </w:tbl>
    <w:p>
      <w:pPr>
        <w:spacing w:before="200" w:after="0"/>
      </w:pPr>
    </w:p>
    <w:p>
      <w:pPr>
        <w:spacing w:after="160" w:line="320"/>
        <w:jc w:val="left"/>
      </w:pPr>
      <w:r>
        <w:rPr>
          <w:rFonts w:ascii="Arial" w:cs="Arial" w:eastAsia="Arial" w:hAnsi="Arial"/>
          <w:color w:val="424143"/>
          <w:sz w:val="24"/>
          <w:szCs w:val="24"/>
        </w:rPr>
        <w:t xml:space="preserve">Each agent produces a standardised JSON message that includes its output, routing instructions for the next agent, and a mandatory audit field documenting its reasoning and governance compliance. This creates a complete, traceable record of every decision in the chain.</w:t>
      </w:r>
    </w:p>
    <w:p>
      <w:r>
        <w:br w:type="page"/>
      </w:r>
    </w:p>
    <w:p>
      <w:pPr>
        <w:pStyle w:val="Heading1"/>
        <w:spacing w:before="360" w:after="200"/>
      </w:pPr>
      <w:r>
        <w:rPr>
          <w:rFonts w:ascii="Arial" w:cs="Arial" w:eastAsia="Arial" w:hAnsi="Arial"/>
          <w:b/>
          <w:bCs/>
          <w:color w:val="424143"/>
          <w:sz w:val="44"/>
          <w:szCs w:val="44"/>
        </w:rPr>
        <w:t xml:space="preserve">Key Differentiators</w:t>
      </w:r>
    </w:p>
    <w:p>
      <w:pPr>
        <w:pStyle w:val="Heading2"/>
        <w:spacing w:before="280" w:after="160"/>
      </w:pPr>
      <w:r>
        <w:rPr>
          <w:rFonts w:ascii="Arial" w:cs="Arial" w:eastAsia="Arial" w:hAnsi="Arial"/>
          <w:b/>
          <w:bCs/>
          <w:color w:val="424143"/>
          <w:sz w:val="32"/>
          <w:szCs w:val="32"/>
        </w:rPr>
        <w:t xml:space="preserve">1. Application-Agnostic by Design</w:t>
      </w:r>
    </w:p>
    <w:p>
      <w:pPr>
        <w:spacing w:after="160" w:line="320"/>
        <w:jc w:val="left"/>
      </w:pPr>
      <w:r>
        <w:rPr>
          <w:rFonts w:ascii="Arial" w:cs="Arial" w:eastAsia="Arial" w:hAnsi="Arial"/>
          <w:color w:val="424143"/>
          <w:sz w:val="24"/>
          <w:szCs w:val="24"/>
        </w:rPr>
        <w:t xml:space="preserve">Carbon Amber separates universal agent logic from application-specific configuration. The governance and operational agents remain identical across deployments. To launch a new application, you simply swap the application context file — defining the new purpose, capabilities, and constraints — and deploy. No changes to the runtime engine or core agents are required.</w:t>
      </w:r>
    </w:p>
    <w:p>
      <w:pPr>
        <w:spacing w:after="160" w:line="320"/>
        <w:jc w:val="left"/>
      </w:pPr>
      <w:r>
        <w:rPr>
          <w:rFonts w:ascii="Arial" w:cs="Arial" w:eastAsia="Arial" w:hAnsi="Arial"/>
          <w:color w:val="424143"/>
          <w:sz w:val="24"/>
          <w:szCs w:val="24"/>
        </w:rPr>
        <w:t xml:space="preserve">This means one investment in the platform supports unlimited applications, from video analysis to document processing to social media monitoring and beyond.</w:t>
      </w:r>
    </w:p>
    <w:p>
      <w:pPr>
        <w:pStyle w:val="Heading2"/>
        <w:spacing w:before="280" w:after="160"/>
      </w:pPr>
      <w:r>
        <w:rPr>
          <w:rFonts w:ascii="Arial" w:cs="Arial" w:eastAsia="Arial" w:hAnsi="Arial"/>
          <w:b/>
          <w:bCs/>
          <w:color w:val="424143"/>
          <w:sz w:val="32"/>
          <w:szCs w:val="32"/>
        </w:rPr>
        <w:t xml:space="preserve">2. Built-In Governance and Compliance</w:t>
      </w:r>
    </w:p>
    <w:p>
      <w:pPr>
        <w:spacing w:after="160" w:line="320"/>
        <w:jc w:val="left"/>
      </w:pPr>
      <w:r>
        <w:rPr>
          <w:rFonts w:ascii="Arial" w:cs="Arial" w:eastAsia="Arial" w:hAnsi="Arial"/>
          <w:color w:val="424143"/>
          <w:sz w:val="24"/>
          <w:szCs w:val="24"/>
        </w:rPr>
        <w:t xml:space="preserve">Governance policies in Carbon Amber are authoritative and cannot be overridden — not by user requests, not by agent logic, not by application configuration. Every agent must evaluate its actions against these policies before execution and document its compliance in a structured audit field.</w:t>
      </w:r>
    </w:p>
    <w:p>
      <w:pPr>
        <w:spacing w:after="160" w:line="320"/>
        <w:jc w:val="left"/>
      </w:pPr>
      <w:r>
        <w:rPr>
          <w:rFonts w:ascii="Arial" w:cs="Arial" w:eastAsia="Arial" w:hAnsi="Arial"/>
          <w:color w:val="424143"/>
          <w:sz w:val="24"/>
          <w:szCs w:val="24"/>
        </w:rPr>
        <w:t xml:space="preserve">This provides enterprises with a verifiable governance trail that satisfies regulatory and internal compliance requirements out of the box.</w:t>
      </w:r>
    </w:p>
    <w:p>
      <w:pPr>
        <w:pStyle w:val="Heading2"/>
        <w:spacing w:before="280" w:after="160"/>
      </w:pPr>
      <w:r>
        <w:rPr>
          <w:rFonts w:ascii="Arial" w:cs="Arial" w:eastAsia="Arial" w:hAnsi="Arial"/>
          <w:b/>
          <w:bCs/>
          <w:color w:val="424143"/>
          <w:sz w:val="32"/>
          <w:szCs w:val="32"/>
        </w:rPr>
        <w:t xml:space="preserve">3. Full Auditability</w:t>
      </w:r>
    </w:p>
    <w:p>
      <w:pPr>
        <w:spacing w:after="160" w:line="320"/>
        <w:jc w:val="left"/>
      </w:pPr>
      <w:r>
        <w:rPr>
          <w:rFonts w:ascii="Arial" w:cs="Arial" w:eastAsia="Arial" w:hAnsi="Arial"/>
          <w:color w:val="424143"/>
          <w:sz w:val="24"/>
          <w:szCs w:val="24"/>
        </w:rPr>
        <w:t xml:space="preserve">Every step in the agent chain is logged with timestamps, the agent’s reasoning, the governance files it consulted, and the compliance notes it produced. Session and request identifiers link all messages together, enabling complete reconstruction of any decision path.</w:t>
      </w:r>
    </w:p>
    <w:p>
      <w:pPr>
        <w:spacing w:after="160" w:line="320"/>
        <w:jc w:val="left"/>
      </w:pPr>
      <w:r>
        <w:rPr>
          <w:rFonts w:ascii="Arial" w:cs="Arial" w:eastAsia="Arial" w:hAnsi="Arial"/>
          <w:color w:val="424143"/>
          <w:sz w:val="24"/>
          <w:szCs w:val="24"/>
        </w:rPr>
        <w:t xml:space="preserve">This “glass box” approach means you can always answer the question: “Why did the system produce this output?”</w:t>
      </w:r>
    </w:p>
    <w:p>
      <w:pPr>
        <w:pStyle w:val="Heading2"/>
        <w:spacing w:before="280" w:after="160"/>
      </w:pPr>
      <w:r>
        <w:rPr>
          <w:rFonts w:ascii="Arial" w:cs="Arial" w:eastAsia="Arial" w:hAnsi="Arial"/>
          <w:b/>
          <w:bCs/>
          <w:color w:val="424143"/>
          <w:sz w:val="32"/>
          <w:szCs w:val="32"/>
        </w:rPr>
        <w:t xml:space="preserve">4. Cost-Optimised Execution</w:t>
      </w:r>
    </w:p>
    <w:p>
      <w:pPr>
        <w:spacing w:after="160" w:line="320"/>
        <w:jc w:val="left"/>
      </w:pPr>
      <w:r>
        <w:rPr>
          <w:rFonts w:ascii="Arial" w:cs="Arial" w:eastAsia="Arial" w:hAnsi="Arial"/>
          <w:color w:val="424143"/>
          <w:sz w:val="24"/>
          <w:szCs w:val="24"/>
        </w:rPr>
        <w:t xml:space="preserve">Carbon Amber defaults to Small Language Models (SLMs) such as Llama-3-8B and Qwen-2.5-7B for routine agent processing. Larger, more expensive models like GPT-4 or Claude are used only when the task demands it. Because agent prompts are structured and well-defined, smaller models perform reliably — dramatically reducing compute costs.</w:t>
      </w:r>
    </w:p>
    <w:p>
      <w:pPr>
        <w:pStyle w:val="Heading2"/>
        <w:spacing w:before="280" w:after="160"/>
      </w:pPr>
      <w:r>
        <w:rPr>
          <w:rFonts w:ascii="Arial" w:cs="Arial" w:eastAsia="Arial" w:hAnsi="Arial"/>
          <w:b/>
          <w:bCs/>
          <w:color w:val="424143"/>
          <w:sz w:val="32"/>
          <w:szCs w:val="32"/>
        </w:rPr>
        <w:t xml:space="preserve">5. Safety and Resilience</w:t>
      </w:r>
    </w:p>
    <w:p>
      <w:pPr>
        <w:spacing w:after="160" w:line="320"/>
        <w:jc w:val="left"/>
      </w:pPr>
      <w:r>
        <w:rPr>
          <w:rFonts w:ascii="Arial" w:cs="Arial" w:eastAsia="Arial" w:hAnsi="Arial"/>
          <w:color w:val="424143"/>
          <w:sz w:val="24"/>
          <w:szCs w:val="24"/>
        </w:rPr>
        <w:t xml:space="preserve">The platform includes a circuit breaker mechanism that terminates any agent chain exceeding a configurable hop limit (default: 10), preventing infinite loops and runaway costs. Role-based access controls protect governance files from modification at runtime, defending against prompt injection attacks.</w:t>
      </w:r>
    </w:p>
    <w:p>
      <w:r>
        <w:br w:type="page"/>
      </w:r>
    </w:p>
    <w:p>
      <w:pPr>
        <w:pStyle w:val="Heading1"/>
        <w:spacing w:before="360" w:after="200"/>
      </w:pPr>
      <w:r>
        <w:rPr>
          <w:rFonts w:ascii="Arial" w:cs="Arial" w:eastAsia="Arial" w:hAnsi="Arial"/>
          <w:b/>
          <w:bCs/>
          <w:color w:val="424143"/>
          <w:sz w:val="44"/>
          <w:szCs w:val="44"/>
        </w:rPr>
        <w:t xml:space="preserve">Example Applications</w:t>
      </w:r>
    </w:p>
    <w:p>
      <w:pPr>
        <w:spacing w:after="160" w:line="320"/>
        <w:jc w:val="left"/>
      </w:pPr>
      <w:r>
        <w:rPr>
          <w:rFonts w:ascii="Arial" w:cs="Arial" w:eastAsia="Arial" w:hAnsi="Arial"/>
          <w:color w:val="424143"/>
          <w:sz w:val="24"/>
          <w:szCs w:val="24"/>
        </w:rPr>
        <w:t xml:space="preserve">Because the architecture is application-agnostic, Carbon Amber can be deployed across a wide range of enterprise use cases. The following table illustrates the versatility of the platform:</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A00202" w:val="clear"/>
            <w:tcMar>
              <w:top w:type="dxa" w:w="80"/>
              <w:left w:type="dxa" w:w="120"/>
              <w:bottom w:type="dxa" w:w="80"/>
              <w:right w:type="dxa" w:w="120"/>
            </w:tcMar>
            <w:vAlign w:val="center"/>
          </w:tcPr>
          <w:p>
            <w:r>
              <w:rPr>
                <w:rFonts w:ascii="Arial" w:cs="Arial" w:eastAsia="Arial" w:hAnsi="Arial"/>
                <w:b/>
                <w:bCs/>
                <w:color w:val="FFFFFF"/>
                <w:sz w:val="22"/>
                <w:szCs w:val="22"/>
              </w:rPr>
              <w:t xml:space="preserve">Application</w:t>
            </w:r>
          </w:p>
        </w:tc>
        <w:tc>
          <w:tcPr>
            <w:tcW w:type="dxa" w:w="3480"/>
            <w:tcBorders>
              <w:top w:val="single" w:color="CCCCCC" w:sz="1"/>
              <w:left w:val="single" w:color="CCCCCC" w:sz="1"/>
              <w:bottom w:val="single" w:color="CCCCCC" w:sz="1"/>
              <w:right w:val="single" w:color="CCCCCC" w:sz="1"/>
            </w:tcBorders>
            <w:shd w:fill="A00202" w:val="clear"/>
            <w:tcMar>
              <w:top w:type="dxa" w:w="80"/>
              <w:left w:type="dxa" w:w="120"/>
              <w:bottom w:type="dxa" w:w="80"/>
              <w:right w:type="dxa" w:w="120"/>
            </w:tcMar>
            <w:vAlign w:val="center"/>
          </w:tcPr>
          <w:p>
            <w:r>
              <w:rPr>
                <w:rFonts w:ascii="Arial" w:cs="Arial" w:eastAsia="Arial" w:hAnsi="Arial"/>
                <w:b/>
                <w:bCs/>
                <w:color w:val="FFFFFF"/>
                <w:sz w:val="22"/>
                <w:szCs w:val="22"/>
              </w:rPr>
              <w:t xml:space="preserve">Primary Objective</w:t>
            </w:r>
          </w:p>
        </w:tc>
        <w:tc>
          <w:tcPr>
            <w:tcW w:type="dxa" w:w="3480"/>
            <w:tcBorders>
              <w:top w:val="single" w:color="CCCCCC" w:sz="1"/>
              <w:left w:val="single" w:color="CCCCCC" w:sz="1"/>
              <w:bottom w:val="single" w:color="CCCCCC" w:sz="1"/>
              <w:right w:val="single" w:color="CCCCCC" w:sz="1"/>
            </w:tcBorders>
            <w:shd w:fill="A00202" w:val="clear"/>
            <w:tcMar>
              <w:top w:type="dxa" w:w="80"/>
              <w:left w:type="dxa" w:w="120"/>
              <w:bottom w:type="dxa" w:w="80"/>
              <w:right w:type="dxa" w:w="120"/>
            </w:tcMar>
            <w:vAlign w:val="center"/>
          </w:tcPr>
          <w:p>
            <w:r>
              <w:rPr>
                <w:rFonts w:ascii="Arial" w:cs="Arial" w:eastAsia="Arial" w:hAnsi="Arial"/>
                <w:b/>
                <w:bCs/>
                <w:color w:val="FFFFFF"/>
                <w:sz w:val="22"/>
                <w:szCs w:val="22"/>
              </w:rPr>
              <w:t xml:space="preserve">Key Capabilities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424143"/>
                <w:sz w:val="22"/>
                <w:szCs w:val="22"/>
              </w:rPr>
              <w:t xml:space="preserve">Video Analysis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424143"/>
                <w:sz w:val="22"/>
                <w:szCs w:val="22"/>
              </w:rPr>
              <w:t xml:space="preserve">Analyse video content from social media and direct uploads for actionable insights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424143"/>
                <w:sz w:val="22"/>
                <w:szCs w:val="22"/>
              </w:rPr>
              <w:t xml:space="preserve">Audio transcription, speaker sentiment analysis, object detection, scene understanding, OCR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424143"/>
                <w:sz w:val="22"/>
                <w:szCs w:val="22"/>
              </w:rPr>
              <w:t xml:space="preserve">Document Processing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424143"/>
                <w:sz w:val="22"/>
                <w:szCs w:val="22"/>
              </w:rPr>
              <w:t xml:space="preserve">Classify, extract, and summarise documents at scale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424143"/>
                <w:sz w:val="22"/>
                <w:szCs w:val="22"/>
              </w:rPr>
              <w:t xml:space="preserve">OCR, entity extraction, summarisation, document classification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424143"/>
                <w:sz w:val="22"/>
                <w:szCs w:val="22"/>
              </w:rPr>
              <w:t xml:space="preserve">Social Media Monitoring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424143"/>
                <w:sz w:val="22"/>
                <w:szCs w:val="22"/>
              </w:rPr>
              <w:t xml:space="preserve">Track trends, sentiment, and influencer activity across platforms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424143"/>
                <w:sz w:val="22"/>
                <w:szCs w:val="22"/>
              </w:rPr>
              <w:t xml:space="preserve">Sentiment tracking, topic extraction, influencer identification</w:t>
            </w:r>
          </w:p>
        </w:tc>
      </w:tr>
    </w:tbl>
    <w:p>
      <w:pPr>
        <w:spacing w:before="200" w:after="0"/>
      </w:pPr>
    </w:p>
    <w:p>
      <w:pPr>
        <w:spacing w:after="160" w:line="320"/>
        <w:jc w:val="left"/>
      </w:pPr>
      <w:r>
        <w:rPr>
          <w:rFonts w:ascii="Arial" w:cs="Arial" w:eastAsia="Arial" w:hAnsi="Arial"/>
          <w:color w:val="424143"/>
          <w:sz w:val="24"/>
          <w:szCs w:val="24"/>
        </w:rPr>
        <w:t xml:space="preserve">Deploying a new application follows a straightforward process: define the application context (purpose, capabilities, constraints), create any application-specific executional agents, and deploy. The governance framework, operational agents, and runtime engine remain unchanged.</w:t>
      </w:r>
    </w:p>
    <w:p>
      <w:pPr>
        <w:pBdr>
          <w:bottom w:val="single" w:color="A00202" w:sz="6" w:space="1"/>
        </w:pBdr>
        <w:spacing w:before="200" w:after="200"/>
      </w:pPr>
    </w:p>
    <w:p>
      <w:pPr>
        <w:pStyle w:val="Heading1"/>
        <w:spacing w:before="360" w:after="200"/>
      </w:pPr>
      <w:r>
        <w:rPr>
          <w:rFonts w:ascii="Arial" w:cs="Arial" w:eastAsia="Arial" w:hAnsi="Arial"/>
          <w:b/>
          <w:bCs/>
          <w:color w:val="424143"/>
          <w:sz w:val="44"/>
          <w:szCs w:val="44"/>
        </w:rPr>
        <w:t xml:space="preserve">Technology Overview</w:t>
      </w:r>
    </w:p>
    <w:p>
      <w:pPr>
        <w:spacing w:after="160" w:line="320"/>
        <w:jc w:val="left"/>
      </w:pPr>
      <w:r>
        <w:rPr>
          <w:rFonts w:ascii="Arial" w:cs="Arial" w:eastAsia="Arial" w:hAnsi="Arial"/>
          <w:color w:val="424143"/>
          <w:sz w:val="24"/>
          <w:szCs w:val="24"/>
        </w:rPr>
        <w:t xml:space="preserve">Carbon Amber is built on proven, open technologies: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A00202" w:val="clear"/>
            <w:tcMar>
              <w:top w:type="dxa" w:w="80"/>
              <w:left w:type="dxa" w:w="120"/>
              <w:bottom w:type="dxa" w:w="80"/>
              <w:right w:type="dxa" w:w="120"/>
            </w:tcMar>
            <w:vAlign w:val="center"/>
          </w:tcPr>
          <w:p>
            <w:r>
              <w:rPr>
                <w:rFonts w:ascii="Arial" w:cs="Arial" w:eastAsia="Arial" w:hAnsi="Arial"/>
                <w:b/>
                <w:bCs/>
                <w:color w:val="FFFFFF"/>
                <w:sz w:val="22"/>
                <w:szCs w:val="22"/>
              </w:rPr>
              <w:t xml:space="preserve">Component</w:t>
            </w:r>
          </w:p>
        </w:tc>
        <w:tc>
          <w:tcPr>
            <w:tcW w:type="dxa" w:w="6360"/>
            <w:tcBorders>
              <w:top w:val="single" w:color="CCCCCC" w:sz="1"/>
              <w:left w:val="single" w:color="CCCCCC" w:sz="1"/>
              <w:bottom w:val="single" w:color="CCCCCC" w:sz="1"/>
              <w:right w:val="single" w:color="CCCCCC" w:sz="1"/>
            </w:tcBorders>
            <w:shd w:fill="A00202" w:val="clear"/>
            <w:tcMar>
              <w:top w:type="dxa" w:w="80"/>
              <w:left w:type="dxa" w:w="120"/>
              <w:bottom w:type="dxa" w:w="80"/>
              <w:right w:type="dxa" w:w="120"/>
            </w:tcMar>
            <w:vAlign w:val="center"/>
          </w:tcPr>
          <w:p>
            <w:r>
              <w:rPr>
                <w:rFonts w:ascii="Arial" w:cs="Arial" w:eastAsia="Arial" w:hAnsi="Arial"/>
                <w:b/>
                <w:bCs/>
                <w:color w:val="FFFFFF"/>
                <w:sz w:val="22"/>
                <w:szCs w:val="22"/>
              </w:rPr>
              <w:t xml:space="preserve">Technology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424143"/>
                <w:sz w:val="22"/>
                <w:szCs w:val="22"/>
              </w:rPr>
              <w:t xml:space="preserve">Orchestration Engine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424143"/>
                <w:sz w:val="22"/>
                <w:szCs w:val="22"/>
              </w:rPr>
              <w:t xml:space="preserve">n8n (open-source workflow automation)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424143"/>
                <w:sz w:val="22"/>
                <w:szCs w:val="22"/>
              </w:rPr>
              <w:t xml:space="preserve">Default Language Models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424143"/>
                <w:sz w:val="22"/>
                <w:szCs w:val="22"/>
              </w:rPr>
              <w:t xml:space="preserve">Llama-3-8B, Qwen-2.5-7B (cost-optimised SLMs)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424143"/>
                <w:sz w:val="22"/>
                <w:szCs w:val="22"/>
              </w:rPr>
              <w:t xml:space="preserve">Escalation Models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424143"/>
                <w:sz w:val="22"/>
                <w:szCs w:val="22"/>
              </w:rPr>
              <w:t xml:space="preserve">GPT-4, Claude 3.5 (used only when needed)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424143"/>
                <w:sz w:val="22"/>
                <w:szCs w:val="22"/>
              </w:rPr>
              <w:t xml:space="preserve">Model Execution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424143"/>
                <w:sz w:val="22"/>
                <w:szCs w:val="22"/>
              </w:rPr>
              <w:t xml:space="preserve">Ollama (local), Groq (cloud inference)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424143"/>
                <w:sz w:val="22"/>
                <w:szCs w:val="22"/>
              </w:rPr>
              <w:t xml:space="preserve">Storage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424143"/>
                <w:sz w:val="22"/>
                <w:szCs w:val="22"/>
              </w:rPr>
              <w:t xml:space="preserve">Wasabi (S3-compatible object storage)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424143"/>
                <w:sz w:val="22"/>
                <w:szCs w:val="22"/>
              </w:rPr>
              <w:t xml:space="preserve">Caching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424143"/>
                <w:sz w:val="22"/>
                <w:szCs w:val="22"/>
              </w:rPr>
              <w:t xml:space="preserve">Redis (agent definition and session caching)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424143"/>
                <w:sz w:val="22"/>
                <w:szCs w:val="22"/>
              </w:rPr>
              <w:t xml:space="preserve">Message Validation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424143"/>
                <w:sz w:val="22"/>
                <w:szCs w:val="22"/>
              </w:rPr>
              <w:t xml:space="preserve">JSON Schema (automated output validation)</w:t>
            </w:r>
          </w:p>
        </w:tc>
      </w:tr>
    </w:tbl>
    <w:p>
      <w:pPr>
        <w:pBdr>
          <w:bottom w:val="single" w:color="A00202" w:sz="6" w:space="1"/>
        </w:pBdr>
        <w:spacing w:before="200" w:after="200"/>
      </w:pPr>
    </w:p>
    <w:p>
      <w:pPr>
        <w:pStyle w:val="Heading1"/>
        <w:spacing w:before="360" w:after="200"/>
      </w:pPr>
      <w:r>
        <w:rPr>
          <w:rFonts w:ascii="Arial" w:cs="Arial" w:eastAsia="Arial" w:hAnsi="Arial"/>
          <w:b/>
          <w:bCs/>
          <w:color w:val="424143"/>
          <w:sz w:val="44"/>
          <w:szCs w:val="44"/>
        </w:rPr>
        <w:t xml:space="preserve">Getting Started</w:t>
      </w:r>
    </w:p>
    <w:p>
      <w:pPr>
        <w:spacing w:after="160" w:line="320"/>
        <w:jc w:val="left"/>
      </w:pPr>
      <w:r>
        <w:rPr>
          <w:rFonts w:ascii="Arial" w:cs="Arial" w:eastAsia="Arial" w:hAnsi="Arial"/>
          <w:color w:val="424143"/>
          <w:sz w:val="24"/>
          <w:szCs w:val="24"/>
        </w:rPr>
        <w:t xml:space="preserve">Engaging with Carbon Amber follows a clear path:</w:t>
      </w:r>
    </w:p>
    <w:p>
      <w:pPr>
        <w:spacing w:before="40" w:after="0"/>
      </w:pPr>
    </w:p>
    <w:p>
      <w:pPr>
        <w:pStyle w:val="ListParagraph"/>
        <w:numPr>
          <w:ilvl w:val="0"/>
          <w:numId w:val="2"/>
        </w:numPr>
        <w:spacing w:after="100" w:line="320"/>
      </w:pPr>
      <w:r>
        <w:rPr>
          <w:rFonts w:ascii="Arial" w:cs="Arial" w:eastAsia="Arial" w:hAnsi="Arial"/>
          <w:b/>
          <w:bCs/>
          <w:color w:val="424143"/>
          <w:sz w:val="24"/>
          <w:szCs w:val="24"/>
        </w:rPr>
        <w:t xml:space="preserve">Discovery. </w:t>
      </w:r>
      <w:r>
        <w:rPr>
          <w:rFonts w:ascii="Arial" w:cs="Arial" w:eastAsia="Arial" w:hAnsi="Arial"/>
          <w:color w:val="424143"/>
          <w:sz w:val="24"/>
          <w:szCs w:val="24"/>
        </w:rPr>
        <w:t xml:space="preserve">We work with you to understand your use case, data sources, compliance requirements, and integration landscape.</w:t>
      </w:r>
    </w:p>
    <w:p>
      <w:pPr>
        <w:pStyle w:val="ListParagraph"/>
        <w:numPr>
          <w:ilvl w:val="0"/>
          <w:numId w:val="2"/>
        </w:numPr>
        <w:spacing w:after="100" w:line="320"/>
      </w:pPr>
      <w:r>
        <w:rPr>
          <w:rFonts w:ascii="Arial" w:cs="Arial" w:eastAsia="Arial" w:hAnsi="Arial"/>
          <w:b/>
          <w:bCs/>
          <w:color w:val="424143"/>
          <w:sz w:val="24"/>
          <w:szCs w:val="24"/>
        </w:rPr>
        <w:t xml:space="preserve">Application Design. </w:t>
      </w:r>
      <w:r>
        <w:rPr>
          <w:rFonts w:ascii="Arial" w:cs="Arial" w:eastAsia="Arial" w:hAnsi="Arial"/>
          <w:color w:val="424143"/>
          <w:sz w:val="24"/>
          <w:szCs w:val="24"/>
        </w:rPr>
        <w:t xml:space="preserve">Together, we define the application context — objectives, capabilities, constraints, and technology stack — tailored to your needs.</w:t>
      </w:r>
    </w:p>
    <w:p>
      <w:pPr>
        <w:pStyle w:val="ListParagraph"/>
        <w:numPr>
          <w:ilvl w:val="0"/>
          <w:numId w:val="2"/>
        </w:numPr>
        <w:spacing w:after="100" w:line="320"/>
      </w:pPr>
      <w:r>
        <w:rPr>
          <w:rFonts w:ascii="Arial" w:cs="Arial" w:eastAsia="Arial" w:hAnsi="Arial"/>
          <w:b/>
          <w:bCs/>
          <w:color w:val="424143"/>
          <w:sz w:val="24"/>
          <w:szCs w:val="24"/>
        </w:rPr>
        <w:t xml:space="preserve">Deployment. </w:t>
      </w:r>
      <w:r>
        <w:rPr>
          <w:rFonts w:ascii="Arial" w:cs="Arial" w:eastAsia="Arial" w:hAnsi="Arial"/>
          <w:color w:val="424143"/>
          <w:sz w:val="24"/>
          <w:szCs w:val="24"/>
        </w:rPr>
        <w:t xml:space="preserve">The application is deployed on the Carbon Amber platform. The runtime engine handles orchestration, caching, logging, and scaling automatically.</w:t>
      </w:r>
    </w:p>
    <w:p>
      <w:pPr>
        <w:pStyle w:val="ListParagraph"/>
        <w:numPr>
          <w:ilvl w:val="0"/>
          <w:numId w:val="2"/>
        </w:numPr>
        <w:spacing w:after="100" w:line="320"/>
      </w:pPr>
      <w:r>
        <w:rPr>
          <w:rFonts w:ascii="Arial" w:cs="Arial" w:eastAsia="Arial" w:hAnsi="Arial"/>
          <w:b/>
          <w:bCs/>
          <w:color w:val="424143"/>
          <w:sz w:val="24"/>
          <w:szCs w:val="24"/>
        </w:rPr>
        <w:t xml:space="preserve">Iteration. </w:t>
      </w:r>
      <w:r>
        <w:rPr>
          <w:rFonts w:ascii="Arial" w:cs="Arial" w:eastAsia="Arial" w:hAnsi="Arial"/>
          <w:color w:val="424143"/>
          <w:sz w:val="24"/>
          <w:szCs w:val="24"/>
        </w:rPr>
        <w:t xml:space="preserve">As the system processes requests, the Memory Agent accumulates institutional knowledge — learned patterns, error prevention insights, and quality benchmarks — that continuously improve performance over time.</w:t>
      </w:r>
    </w:p>
    <w:p>
      <w:pPr>
        <w:spacing w:before="200" w:after="0"/>
      </w:pPr>
    </w:p>
    <w:p>
      <w:pPr>
        <w:pBdr>
          <w:bottom w:val="single" w:color="A00202" w:sz="6" w:space="1"/>
        </w:pBdr>
        <w:spacing w:before="200" w:after="200"/>
      </w:pPr>
    </w:p>
    <w:p>
      <w:pPr>
        <w:spacing w:before="100" w:after="0"/>
      </w:pPr>
    </w:p>
    <w:p>
      <w:pPr>
        <w:spacing w:after="120"/>
        <w:jc w:val="center"/>
      </w:pPr>
      <w:r>
        <w:rPr>
          <w:rFonts w:ascii="Arial" w:cs="Arial" w:eastAsia="Arial" w:hAnsi="Arial"/>
          <w:b/>
          <w:bCs/>
          <w:color w:val="A00202"/>
          <w:sz w:val="26"/>
          <w:szCs w:val="26"/>
        </w:rPr>
        <w:t xml:space="preserve">Ready to explore what Carbon Amber can do for your organisation?</w:t>
      </w:r>
    </w:p>
    <w:p>
      <w:pPr>
        <w:spacing w:after="80"/>
        <w:jc w:val="center"/>
      </w:pPr>
      <w:r>
        <w:rPr>
          <w:rFonts w:ascii="Arial" w:cs="Arial" w:eastAsia="Arial" w:hAnsi="Arial"/>
          <w:color w:val="424143"/>
          <w:sz w:val="24"/>
          <w:szCs w:val="24"/>
        </w:rPr>
        <w:t xml:space="preserve">Contact Sentient.io to schedule a platform walkthrough.</w:t>
      </w:r>
    </w:p>
    <w:p>
      <w:pPr>
        <w:spacing w:before="300" w:after="0"/>
      </w:pPr>
    </w:p>
    <w:p>
      <w:pPr>
        <w:jc w:val="center"/>
      </w:pPr>
      <w:r>
        <w:drawing>
          <wp:inline distT="0" distB="0" distL="0" distR="0">
            <wp:extent cx="1905000" cy="409575"/>
            <wp:effectExtent t="0" r="0" b="0" l="0"/>
            <wp:docPr id="1" name="sentient-logo-footer" descr="Sentient.io company logo" title="Sentient.io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05000" cy="409575"/>
                    </a:xfrm>
                    <a:prstGeom prst="rect">
                      <a:avLst/>
                    </a:prstGeom>
                  </pic:spPr>
                </pic:pic>
              </a:graphicData>
            </a:graphic>
          </wp:inline>
        </w:drawing>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00202" w:sz="4" w:space="4"/>
      </w:pBdr>
      <w:jc w:val="center"/>
    </w:pPr>
    <w:r>
      <w:rPr>
        <w:rFonts w:ascii="Arial" w:cs="Arial" w:eastAsia="Arial" w:hAnsi="Arial"/>
        <w:color w:val="424143"/>
        <w:sz w:val="18"/>
        <w:szCs w:val="18"/>
      </w:rPr>
      <w:t xml:space="preserve">Page </w:t>
    </w:r>
    <w:r>
      <w:rPr>
        <w:rFonts w:ascii="Arial" w:cs="Arial" w:eastAsia="Arial" w:hAnsi="Arial"/>
        <w:color w:val="42414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424143"/>
        <w:sz w:val="18"/>
        <w:szCs w:val="18"/>
      </w:rPr>
      <w:t xml:space="preserve">Carbon Amber  |  Sentient.io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424143"/>
      <w:sz w:val="44"/>
      <w:szCs w:val="44"/>
    </w:rPr>
  </w:style>
  <w:style w:type="paragraph" w:styleId="Heading2">
    <w:name w:val="Heading 2"/>
    <w:basedOn w:val="Normal"/>
    <w:next w:val="Normal"/>
    <w:qFormat/>
    <w:pPr>
      <w:spacing w:before="280" w:after="160"/>
      <w:outlineLvl w:val="1"/>
    </w:pPr>
    <w:rPr>
      <w:rFonts w:ascii="Arial" w:cs="Arial" w:eastAsia="Arial" w:hAnsi="Arial"/>
      <w:b/>
      <w:bCs/>
      <w:color w:val="424143"/>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b556ab48f9c6e1ffd35c4c50164bfb3b33376421.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2026-02-24T14:37:38.441Z</dcterms:created>
  <dcterms:modified xsi:type="dcterms:W3CDTF">2026-02-24T14:37:38.441Z</dcterms:modified>
</cp:coreProperties>
</file>

<file path=docProps/custom.xml><?xml version="1.0" encoding="utf-8"?>
<Properties xmlns="http://schemas.openxmlformats.org/officeDocument/2006/custom-properties" xmlns:vt="http://schemas.openxmlformats.org/officeDocument/2006/docPropsVTypes"/>
</file>