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8"/>
        </w:pBdr>
        <w:spacing w:after="200" w:before="0"/>
      </w:pPr>
      <w:r>
        <w:rPr>
          <w:rFonts w:ascii="Calibri" w:cs="Calibri" w:eastAsia="Calibri" w:hAnsi="Calibri"/>
          <w:b/>
          <w:bCs/>
          <w:i w:val="false"/>
          <w:iCs w:val="false"/>
          <w:caps w:val="false"/>
          <w:color w:val="2E74B5"/>
          <w:sz w:val="20"/>
          <w:szCs w:val="20"/>
        </w:rPr>
        <w:t xml:space="preserve">Lektion 15 · Bauern und Adlige</w:t>
      </w:r>
      <w:r>
        <w:rPr>
          <w:rFonts w:ascii="Calibri" w:cs="Calibri" w:eastAsia="Calibri" w:hAnsi="Calibri"/>
          <w:b w:val="false"/>
          <w:bCs w:val="false"/>
          <w:i w:val="false"/>
          <w:iCs w:val="false"/>
          <w:caps w:val="false"/>
          <w:color w:val="808080"/>
          <w:sz w:val="20"/>
          <w:szCs w:val="20"/>
        </w:rPr>
        <w:t xml:space="preserve">					Regieblatt für die Lehrkraft</w:t>
      </w:r>
    </w:p>
    <w:p>
      <w:pPr>
        <w:spacing w:after="120" w:before="0"/>
      </w:pPr>
      <w:r>
        <w:rPr>
          <w:rFonts w:ascii="Calibri" w:cs="Calibri" w:eastAsia="Calibri" w:hAnsi="Calibri"/>
          <w:b/>
          <w:bCs/>
          <w:i w:val="false"/>
          <w:iCs w:val="false"/>
          <w:caps w:val="false"/>
          <w:color w:val="1F3D5C"/>
          <w:sz w:val="34"/>
          <w:szCs w:val="34"/>
        </w:rPr>
        <w:t xml:space="preserve">Einstieg: Der Chor der Stimmen</w:t>
      </w:r>
    </w:p>
    <w:p>
      <w:pPr>
        <w:spacing w:after="300" w:before="0"/>
      </w:pPr>
      <w:r>
        <w:rPr>
          <w:rFonts w:ascii="Calibri" w:cs="Calibri" w:eastAsia="Calibri" w:hAnsi="Calibri"/>
          <w:b w:val="false"/>
          <w:bCs w:val="false"/>
          <w:i w:val="false"/>
          <w:iCs w:val="false"/>
          <w:caps w:val="false"/>
          <w:color w:val="2E74B5"/>
          <w:sz w:val="22"/>
          <w:szCs w:val="22"/>
        </w:rPr>
        <w:t xml:space="preserve">Wie die Leitfrage aufgeworfen wird · ca. 15 Minuten · vor jeder Grammatikarbeit</w:t>
      </w:r>
    </w:p>
    <w:p>
      <w:pPr>
        <w:keepNext/>
        <w:spacing w:after="120" w:before="320"/>
      </w:pPr>
      <w:r>
        <w:rPr>
          <w:rFonts w:ascii="Calibri" w:cs="Calibri" w:eastAsia="Calibri" w:hAnsi="Calibri"/>
          <w:b/>
          <w:bCs/>
          <w:i w:val="false"/>
          <w:iCs w:val="false"/>
          <w:caps w:val="false"/>
          <w:color w:val="2E74B5"/>
          <w:sz w:val="26"/>
          <w:szCs w:val="26"/>
        </w:rPr>
        <w:t xml:space="preserve">Worum es geht</w:t>
      </w:r>
    </w:p>
    <w:p>
      <w:pPr>
        <w:spacing w:after="120" w:before="0"/>
      </w:pPr>
      <w:r>
        <w:rPr>
          <w:rFonts w:ascii="Calibri" w:cs="Calibri" w:eastAsia="Calibri" w:hAnsi="Calibri"/>
          <w:b w:val="false"/>
          <w:bCs w:val="false"/>
          <w:i w:val="false"/>
          <w:iCs w:val="false"/>
          <w:caps w:val="false"/>
          <w:sz w:val="22"/>
          <w:szCs w:val="22"/>
        </w:rPr>
        <w:t xml:space="preserve">Die Klasse soll die Leitfrage nicht mitgeteilt bekommen, sondern auf sie stoßen. Dafür hört sie zuerst dreißig Klagen im Passiv – und stellt fest, dass keine einzige verrät, wer eigentlich handelt. Genau diese Lücke ist das Thema der Lektion: Das Passiv kann den Handelnden nennen – oder ihn weglassen. Und wer klagt, ohne zu handeln, ist jemand, dem etwas geschieht.</w:t>
      </w:r>
    </w:p>
    <w:p>
      <w:pPr>
        <w:spacing w:after="120" w:before="0"/>
      </w:pPr>
      <w:r>
        <w:rPr>
          <w:rFonts w:ascii="Calibri" w:cs="Calibri" w:eastAsia="Calibri" w:hAnsi="Calibri"/>
          <w:b w:val="false"/>
          <w:bCs w:val="false"/>
          <w:i w:val="false"/>
          <w:iCs w:val="false"/>
          <w:caps w:val="false"/>
          <w:sz w:val="22"/>
          <w:szCs w:val="22"/>
        </w:rPr>
        <w:t xml:space="preserve">Erst danach beginnt die Passiv-Einführung. Die Grammatik kommt als Werkzeug, das die Klasse braucht, nicht als Stoff, der abgearbeitet wird.</w:t>
      </w:r>
    </w:p>
    <w:p>
      <w:pPr>
        <w:keepNext/>
        <w:spacing w:after="120" w:before="320"/>
      </w:pPr>
      <w:r>
        <w:rPr>
          <w:rFonts w:ascii="Calibri" w:cs="Calibri" w:eastAsia="Calibri" w:hAnsi="Calibri"/>
          <w:b/>
          <w:bCs/>
          <w:i w:val="false"/>
          <w:iCs w:val="false"/>
          <w:caps w:val="false"/>
          <w:color w:val="2E74B5"/>
          <w:sz w:val="26"/>
          <w:szCs w:val="26"/>
        </w:rPr>
        <w:t xml:space="preserve">Material</w:t>
      </w:r>
    </w:p>
    <w:p>
      <w:pPr>
        <w:spacing w:after="200" w:before="0"/>
      </w:pPr>
      <w:r>
        <w:rPr>
          <w:rFonts w:ascii="Calibri" w:cs="Calibri" w:eastAsia="Calibri" w:hAnsi="Calibri"/>
          <w:b w:val="false"/>
          <w:bCs w:val="false"/>
          <w:i w:val="false"/>
          <w:iCs w:val="false"/>
          <w:caps w:val="false"/>
          <w:sz w:val="22"/>
          <w:szCs w:val="22"/>
        </w:rPr>
        <w:t xml:space="preserve">AB 01a Stimmkarten (30 Stück, zerschnitten) · Leitfragen-Plakat · Schülerbuch S. 108 (Praeparatio) als Projektion · optional: leise Forums-Geräuschkulisse</w:t>
      </w:r>
    </w:p>
    <w:p>
      <w:pPr>
        <w:keepNext/>
        <w:spacing w:after="120" w:before="320"/>
      </w:pPr>
      <w:r>
        <w:rPr>
          <w:rFonts w:ascii="Calibri" w:cs="Calibri" w:eastAsia="Calibri" w:hAnsi="Calibri"/>
          <w:b/>
          <w:bCs/>
          <w:i w:val="false"/>
          <w:iCs w:val="false"/>
          <w:caps w:val="false"/>
          <w:color w:val="2E74B5"/>
          <w:sz w:val="26"/>
          <w:szCs w:val="26"/>
        </w:rPr>
        <w:t xml:space="preserve">Ablauf</w:t>
      </w:r>
    </w:p>
    <w:tbl>
      <w:tblPr>
        <w:tblW w:type="pct" w:w="100%"/>
        <w:tblBorders>
          <w:top w:val="single" w:color="2E74B5" w:sz="4"/>
          <w:left w:val="single" w:color="2E74B5" w:sz="4"/>
          <w:bottom w:val="single" w:color="2E74B5" w:sz="4"/>
          <w:right w:val="single" w:color="2E74B5" w:sz="4"/>
          <w:insideH w:val="single" w:color="AFC8DE" w:sz="2"/>
          <w:insideV w:val="single" w:color="AFC8DE" w:sz="2"/>
        </w:tblBorders>
      </w:tblPr>
      <w:tblGrid>
        <w:gridCol w:w="520"/>
        <w:gridCol w:w="1000"/>
        <w:gridCol w:w="2100"/>
        <w:gridCol w:w="6086"/>
      </w:tblGrid>
      <w:tr>
        <w:trPr>
          <w:tblHeader/>
        </w:trPr>
        <w:tc>
          <w:tcPr>
            <w:tcW w:type="pct" w:w="520%"/>
            <w:shd w:fill="DCE9F5" w:val="clear"/>
            <w:tcMar>
              <w:top w:type="dxa" w:w="100"/>
              <w:left w:type="dxa" w:w="140"/>
              <w:bottom w:type="dxa" w:w="100"/>
              <w:right w:type="dxa" w:w="140"/>
            </w:tcMar>
          </w:tcPr>
          <w:p>
            <w:pPr>
              <w:spacing w:after="0" w:before="0"/>
            </w:pPr>
            <w:r>
              <w:rPr>
                <w:rFonts w:ascii="Calibri" w:cs="Calibri" w:eastAsia="Calibri" w:hAnsi="Calibri"/>
                <w:b/>
                <w:bCs/>
                <w:i w:val="false"/>
                <w:iCs w:val="false"/>
                <w:caps w:val="false"/>
                <w:sz w:val="20"/>
                <w:szCs w:val="20"/>
              </w:rPr>
              <w:t xml:space="preserve"/>
            </w:r>
          </w:p>
        </w:tc>
        <w:tc>
          <w:tcPr>
            <w:tcW w:type="pct" w:w="1000%"/>
            <w:shd w:fill="DCE9F5" w:val="clear"/>
            <w:tcMar>
              <w:top w:type="dxa" w:w="100"/>
              <w:left w:type="dxa" w:w="140"/>
              <w:bottom w:type="dxa" w:w="100"/>
              <w:right w:type="dxa" w:w="140"/>
            </w:tcMar>
          </w:tcPr>
          <w:p>
            <w:pPr>
              <w:spacing w:after="0" w:before="0"/>
            </w:pPr>
            <w:r>
              <w:rPr>
                <w:rFonts w:ascii="Calibri" w:cs="Calibri" w:eastAsia="Calibri" w:hAnsi="Calibri"/>
                <w:b/>
                <w:bCs/>
                <w:i w:val="false"/>
                <w:iCs w:val="false"/>
                <w:caps w:val="false"/>
                <w:sz w:val="20"/>
                <w:szCs w:val="20"/>
              </w:rPr>
              <w:t xml:space="preserve">Zeit</w:t>
            </w:r>
          </w:p>
        </w:tc>
        <w:tc>
          <w:tcPr>
            <w:tcW w:type="pct" w:w="2100%"/>
            <w:shd w:fill="DCE9F5" w:val="clear"/>
            <w:tcMar>
              <w:top w:type="dxa" w:w="100"/>
              <w:left w:type="dxa" w:w="140"/>
              <w:bottom w:type="dxa" w:w="100"/>
              <w:right w:type="dxa" w:w="140"/>
            </w:tcMar>
          </w:tcPr>
          <w:p>
            <w:pPr>
              <w:spacing w:after="0" w:before="0"/>
            </w:pPr>
            <w:r>
              <w:rPr>
                <w:rFonts w:ascii="Calibri" w:cs="Calibri" w:eastAsia="Calibri" w:hAnsi="Calibri"/>
                <w:b/>
                <w:bCs/>
                <w:i w:val="false"/>
                <w:iCs w:val="false"/>
                <w:caps w:val="false"/>
                <w:sz w:val="20"/>
                <w:szCs w:val="20"/>
              </w:rPr>
              <w:t xml:space="preserve">Schritt</w:t>
            </w:r>
          </w:p>
        </w:tc>
        <w:tc>
          <w:tcPr>
            <w:tcW w:type="pct" w:w="6086%"/>
            <w:shd w:fill="DCE9F5" w:val="clear"/>
            <w:tcMar>
              <w:top w:type="dxa" w:w="100"/>
              <w:left w:type="dxa" w:w="140"/>
              <w:bottom w:type="dxa" w:w="100"/>
              <w:right w:type="dxa" w:w="140"/>
            </w:tcMar>
          </w:tcPr>
          <w:p>
            <w:pPr>
              <w:spacing w:after="0" w:before="0"/>
            </w:pPr>
            <w:r>
              <w:rPr>
                <w:rFonts w:ascii="Calibri" w:cs="Calibri" w:eastAsia="Calibri" w:hAnsi="Calibri"/>
                <w:b/>
                <w:bCs/>
                <w:i w:val="false"/>
                <w:iCs w:val="false"/>
                <w:caps w:val="false"/>
                <w:sz w:val="20"/>
                <w:szCs w:val="20"/>
              </w:rPr>
              <w:t xml:space="preserve">Was geschieht</w:t>
            </w:r>
          </w:p>
        </w:tc>
      </w:tr>
      <w:tr>
        <w:tc>
          <w:tcPr>
            <w:tcW w:type="pct" w:w="520%"/>
            <w:tcMar>
              <w:top w:type="dxa" w:w="100"/>
              <w:left w:type="dxa" w:w="140"/>
              <w:bottom w:type="dxa" w:w="100"/>
              <w:right w:type="dxa" w:w="140"/>
            </w:tcMar>
          </w:tcPr>
          <w:p>
            <w:pPr>
              <w:spacing w:after="0" w:before="0"/>
            </w:pPr>
            <w:r>
              <w:rPr>
                <w:rFonts w:ascii="Calibri" w:cs="Calibri" w:eastAsia="Calibri" w:hAnsi="Calibri"/>
                <w:b/>
                <w:bCs/>
                <w:i w:val="false"/>
                <w:iCs w:val="false"/>
                <w:caps w:val="false"/>
                <w:color w:val="2E74B5"/>
                <w:sz w:val="20"/>
                <w:szCs w:val="20"/>
              </w:rPr>
              <w:t xml:space="preserve">1</w:t>
            </w:r>
          </w:p>
        </w:tc>
        <w:tc>
          <w:tcPr>
            <w:tcW w:type="pct" w:w="1000%"/>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2 Min.</w:t>
            </w:r>
          </w:p>
        </w:tc>
        <w:tc>
          <w:tcPr>
            <w:tcW w:type="pct" w:w="2100%"/>
            <w:tcMar>
              <w:top w:type="dxa" w:w="100"/>
              <w:left w:type="dxa" w:w="140"/>
              <w:bottom w:type="dxa" w:w="100"/>
              <w:right w:type="dxa" w:w="140"/>
            </w:tcMar>
          </w:tcPr>
          <w:p>
            <w:pPr>
              <w:spacing w:after="0" w:before="0"/>
            </w:pPr>
            <w:r>
              <w:rPr>
                <w:rFonts w:ascii="Calibri" w:cs="Calibri" w:eastAsia="Calibri" w:hAnsi="Calibri"/>
                <w:b/>
                <w:bCs/>
                <w:i w:val="false"/>
                <w:iCs w:val="false"/>
                <w:caps w:val="false"/>
                <w:sz w:val="20"/>
                <w:szCs w:val="20"/>
              </w:rPr>
              <w:t xml:space="preserve">Austeilen – schweigend</w:t>
            </w:r>
          </w:p>
        </w:tc>
        <w:tc>
          <w:tcPr>
            <w:tcW w:type="pct" w:w="6086%"/>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Jede Schülerin, jeder Schüler bekommt genau eine Stimmkarte, verdeckt. Ansage: „Lest euren Satz still. Ihr sagt ihn gleich laut – einmal, ohne Erklärung.“ Karten werden nicht getauscht.</w:t>
            </w:r>
          </w:p>
        </w:tc>
      </w:tr>
      <w:tr>
        <w:tc>
          <w:tcPr>
            <w:tcW w:type="pct" w:w="520%"/>
            <w:tcMar>
              <w:top w:type="dxa" w:w="100"/>
              <w:left w:type="dxa" w:w="140"/>
              <w:bottom w:type="dxa" w:w="100"/>
              <w:right w:type="dxa" w:w="140"/>
            </w:tcMar>
          </w:tcPr>
          <w:p>
            <w:pPr>
              <w:spacing w:after="0" w:before="0"/>
            </w:pPr>
            <w:r>
              <w:rPr>
                <w:rFonts w:ascii="Calibri" w:cs="Calibri" w:eastAsia="Calibri" w:hAnsi="Calibri"/>
                <w:b/>
                <w:bCs/>
                <w:i w:val="false"/>
                <w:iCs w:val="false"/>
                <w:caps w:val="false"/>
                <w:color w:val="2E74B5"/>
                <w:sz w:val="20"/>
                <w:szCs w:val="20"/>
              </w:rPr>
              <w:t xml:space="preserve">2</w:t>
            </w:r>
          </w:p>
        </w:tc>
        <w:tc>
          <w:tcPr>
            <w:tcW w:type="pct" w:w="1000%"/>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4 Min.</w:t>
            </w:r>
          </w:p>
        </w:tc>
        <w:tc>
          <w:tcPr>
            <w:tcW w:type="pct" w:w="2100%"/>
            <w:tcMar>
              <w:top w:type="dxa" w:w="100"/>
              <w:left w:type="dxa" w:w="140"/>
              <w:bottom w:type="dxa" w:w="100"/>
              <w:right w:type="dxa" w:w="140"/>
            </w:tcMar>
          </w:tcPr>
          <w:p>
            <w:pPr>
              <w:spacing w:after="0" w:before="0"/>
            </w:pPr>
            <w:r>
              <w:rPr>
                <w:rFonts w:ascii="Calibri" w:cs="Calibri" w:eastAsia="Calibri" w:hAnsi="Calibri"/>
                <w:b/>
                <w:bCs/>
                <w:i w:val="false"/>
                <w:iCs w:val="false"/>
                <w:caps w:val="false"/>
                <w:sz w:val="20"/>
                <w:szCs w:val="20"/>
              </w:rPr>
              <w:t xml:space="preserve">Der Chor</w:t>
            </w:r>
          </w:p>
        </w:tc>
        <w:tc>
          <w:tcPr>
            <w:tcW w:type="pct" w:w="6086%"/>
            <w:tcMar>
              <w:top w:type="dxa" w:w="100"/>
              <w:left w:type="dxa" w:w="140"/>
              <w:bottom w:type="dxa" w:w="100"/>
              <w:right w:type="dxa" w:w="140"/>
            </w:tcMar>
          </w:tcPr>
          <w:p>
            <w:pPr>
              <w:spacing w:after="80" w:before="0"/>
            </w:pPr>
            <w:r>
              <w:rPr>
                <w:rFonts w:ascii="Calibri" w:cs="Calibri" w:eastAsia="Calibri" w:hAnsi="Calibri"/>
                <w:b w:val="false"/>
                <w:bCs w:val="false"/>
                <w:i w:val="false"/>
                <w:iCs w:val="false"/>
                <w:caps w:val="false"/>
                <w:sz w:val="20"/>
                <w:szCs w:val="20"/>
              </w:rPr>
              <w:t xml:space="preserve">Reihum, ohne Pause dazwischen, ohne Kommentar: Jede/r liest den eigenen Satz laut vor. Ruhig, nicht theatralisch.</w:t>
            </w:r>
          </w:p>
          <w:p>
            <w:pPr>
              <w:spacing w:after="80" w:before="0"/>
            </w:pPr>
            <w:r>
              <w:rPr>
                <w:rFonts w:ascii="Calibri" w:cs="Calibri" w:eastAsia="Calibri" w:hAnsi="Calibri"/>
                <w:b w:val="false"/>
                <w:bCs w:val="false"/>
                <w:i w:val="false"/>
                <w:iCs w:val="false"/>
                <w:caps w:val="false"/>
                <w:sz w:val="20"/>
                <w:szCs w:val="20"/>
              </w:rPr>
              <w:t xml:space="preserve">Wichtig: Keine Reaktion der Lehrkraft zwischen den Sätzen. Die Wirkung entsteht durch die Reihung.</w:t>
            </w:r>
          </w:p>
          <w:p>
            <w:pPr>
              <w:spacing w:after="0" w:before="0"/>
            </w:pPr>
            <w:r>
              <w:rPr>
                <w:rFonts w:ascii="Calibri" w:cs="Calibri" w:eastAsia="Calibri" w:hAnsi="Calibri"/>
                <w:b w:val="false"/>
                <w:bCs w:val="false"/>
                <w:i w:val="false"/>
                <w:iCs w:val="false"/>
                <w:caps w:val="false"/>
                <w:sz w:val="20"/>
                <w:szCs w:val="20"/>
              </w:rPr>
              <w:t xml:space="preserve">Danach bewusst einige Sekunden Stille stehen lassen.</w:t>
            </w:r>
          </w:p>
        </w:tc>
      </w:tr>
      <w:tr>
        <w:tc>
          <w:tcPr>
            <w:tcW w:type="pct" w:w="520%"/>
            <w:tcMar>
              <w:top w:type="dxa" w:w="100"/>
              <w:left w:type="dxa" w:w="140"/>
              <w:bottom w:type="dxa" w:w="100"/>
              <w:right w:type="dxa" w:w="140"/>
            </w:tcMar>
          </w:tcPr>
          <w:p>
            <w:pPr>
              <w:spacing w:after="0" w:before="0"/>
            </w:pPr>
            <w:r>
              <w:rPr>
                <w:rFonts w:ascii="Calibri" w:cs="Calibri" w:eastAsia="Calibri" w:hAnsi="Calibri"/>
                <w:b/>
                <w:bCs/>
                <w:i w:val="false"/>
                <w:iCs w:val="false"/>
                <w:caps w:val="false"/>
                <w:color w:val="2E74B5"/>
                <w:sz w:val="20"/>
                <w:szCs w:val="20"/>
              </w:rPr>
              <w:t xml:space="preserve">3</w:t>
            </w:r>
          </w:p>
        </w:tc>
        <w:tc>
          <w:tcPr>
            <w:tcW w:type="pct" w:w="1000%"/>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2 Min.</w:t>
            </w:r>
          </w:p>
        </w:tc>
        <w:tc>
          <w:tcPr>
            <w:tcW w:type="pct" w:w="2100%"/>
            <w:tcMar>
              <w:top w:type="dxa" w:w="100"/>
              <w:left w:type="dxa" w:w="140"/>
              <w:bottom w:type="dxa" w:w="100"/>
              <w:right w:type="dxa" w:w="140"/>
            </w:tcMar>
          </w:tcPr>
          <w:p>
            <w:pPr>
              <w:spacing w:after="0" w:before="0"/>
            </w:pPr>
            <w:r>
              <w:rPr>
                <w:rFonts w:ascii="Calibri" w:cs="Calibri" w:eastAsia="Calibri" w:hAnsi="Calibri"/>
                <w:b/>
                <w:bCs/>
                <w:i w:val="false"/>
                <w:iCs w:val="false"/>
                <w:caps w:val="false"/>
                <w:sz w:val="20"/>
                <w:szCs w:val="20"/>
              </w:rPr>
              <w:t xml:space="preserve">Solo: Wer war es?</w:t>
            </w:r>
          </w:p>
        </w:tc>
        <w:tc>
          <w:tcPr>
            <w:tcW w:type="pct" w:w="6086%"/>
            <w:tcMar>
              <w:top w:type="dxa" w:w="100"/>
              <w:left w:type="dxa" w:w="140"/>
              <w:bottom w:type="dxa" w:w="100"/>
              <w:right w:type="dxa" w:w="140"/>
            </w:tcMar>
          </w:tcPr>
          <w:p>
            <w:pPr>
              <w:spacing w:after="80" w:before="0"/>
            </w:pPr>
            <w:r>
              <w:rPr>
                <w:rFonts w:ascii="Calibri" w:cs="Calibri" w:eastAsia="Calibri" w:hAnsi="Calibri"/>
                <w:b w:val="false"/>
                <w:bCs w:val="false"/>
                <w:i w:val="false"/>
                <w:iCs w:val="false"/>
                <w:caps w:val="false"/>
                <w:sz w:val="20"/>
                <w:szCs w:val="20"/>
              </w:rPr>
              <w:t xml:space="preserve">Auftrag: „Schreibt auf eure Karte, wer euch das antut. Jede/r für sich, kein Gespräch.“</w:t>
            </w:r>
          </w:p>
          <w:p>
            <w:pPr>
              <w:spacing w:after="0" w:before="0"/>
            </w:pPr>
            <w:r>
              <w:rPr>
                <w:rFonts w:ascii="Calibri" w:cs="Calibri" w:eastAsia="Calibri" w:hAnsi="Calibri"/>
                <w:b w:val="false"/>
                <w:bCs w:val="false"/>
                <w:i w:val="false"/>
                <w:iCs w:val="false"/>
                <w:caps w:val="false"/>
                <w:sz w:val="20"/>
                <w:szCs w:val="20"/>
              </w:rPr>
              <w:t xml:space="preserve">Der Punkt der Übung: Es geht nicht. Der Satz gibt es nicht her.</w:t>
            </w:r>
          </w:p>
        </w:tc>
      </w:tr>
      <w:tr>
        <w:tc>
          <w:tcPr>
            <w:tcW w:type="pct" w:w="520%"/>
            <w:tcMar>
              <w:top w:type="dxa" w:w="100"/>
              <w:left w:type="dxa" w:w="140"/>
              <w:bottom w:type="dxa" w:w="100"/>
              <w:right w:type="dxa" w:w="140"/>
            </w:tcMar>
          </w:tcPr>
          <w:p>
            <w:pPr>
              <w:spacing w:after="0" w:before="0"/>
            </w:pPr>
            <w:r>
              <w:rPr>
                <w:rFonts w:ascii="Calibri" w:cs="Calibri" w:eastAsia="Calibri" w:hAnsi="Calibri"/>
                <w:b/>
                <w:bCs/>
                <w:i w:val="false"/>
                <w:iCs w:val="false"/>
                <w:caps w:val="false"/>
                <w:color w:val="2E74B5"/>
                <w:sz w:val="20"/>
                <w:szCs w:val="20"/>
              </w:rPr>
              <w:t xml:space="preserve">4</w:t>
            </w:r>
          </w:p>
        </w:tc>
        <w:tc>
          <w:tcPr>
            <w:tcW w:type="pct" w:w="1000%"/>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3 Min.</w:t>
            </w:r>
          </w:p>
        </w:tc>
        <w:tc>
          <w:tcPr>
            <w:tcW w:type="pct" w:w="2100%"/>
            <w:tcMar>
              <w:top w:type="dxa" w:w="100"/>
              <w:left w:type="dxa" w:w="140"/>
              <w:bottom w:type="dxa" w:w="100"/>
              <w:right w:type="dxa" w:w="140"/>
            </w:tcMar>
          </w:tcPr>
          <w:p>
            <w:pPr>
              <w:spacing w:after="0" w:before="0"/>
            </w:pPr>
            <w:r>
              <w:rPr>
                <w:rFonts w:ascii="Calibri" w:cs="Calibri" w:eastAsia="Calibri" w:hAnsi="Calibri"/>
                <w:b/>
                <w:bCs/>
                <w:i w:val="false"/>
                <w:iCs w:val="false"/>
                <w:caps w:val="false"/>
                <w:sz w:val="20"/>
                <w:szCs w:val="20"/>
              </w:rPr>
              <w:t xml:space="preserve">Aufdecken</w:t>
            </w:r>
          </w:p>
        </w:tc>
        <w:tc>
          <w:tcPr>
            <w:tcW w:type="pct" w:w="6086%"/>
            <w:tcMar>
              <w:top w:type="dxa" w:w="100"/>
              <w:left w:type="dxa" w:w="140"/>
              <w:bottom w:type="dxa" w:w="100"/>
              <w:right w:type="dxa" w:w="140"/>
            </w:tcMar>
          </w:tcPr>
          <w:p>
            <w:pPr>
              <w:spacing w:after="80" w:before="0"/>
            </w:pPr>
            <w:r>
              <w:rPr>
                <w:rFonts w:ascii="Calibri" w:cs="Calibri" w:eastAsia="Calibri" w:hAnsi="Calibri"/>
                <w:b w:val="false"/>
                <w:bCs w:val="false"/>
                <w:i w:val="false"/>
                <w:iCs w:val="false"/>
                <w:caps w:val="false"/>
                <w:sz w:val="20"/>
                <w:szCs w:val="20"/>
              </w:rPr>
              <w:t xml:space="preserve">Einzelne werden aufgerufen (nicht gemeldet): Was hast du geschrieben? – Antworten wie „weiß nicht“, „irgendjemand“, „die da oben“ sind genau das Ergebnis.</w:t>
            </w:r>
          </w:p>
          <w:p>
            <w:pPr>
              <w:spacing w:after="80" w:before="0"/>
            </w:pPr>
            <w:r>
              <w:rPr>
                <w:rFonts w:ascii="Calibri" w:cs="Calibri" w:eastAsia="Calibri" w:hAnsi="Calibri"/>
                <w:b w:val="false"/>
                <w:bCs w:val="false"/>
                <w:i w:val="false"/>
                <w:iCs w:val="false"/>
                <w:caps w:val="false"/>
                <w:sz w:val="20"/>
                <w:szCs w:val="20"/>
              </w:rPr>
              <w:t xml:space="preserve">Tafel: Kein einziger dieser Sätze verrät, wer handelt.</w:t>
            </w:r>
          </w:p>
          <w:p>
            <w:pPr>
              <w:spacing w:after="0" w:before="0"/>
            </w:pPr>
            <w:r>
              <w:rPr>
                <w:rFonts w:ascii="Calibri" w:cs="Calibri" w:eastAsia="Calibri" w:hAnsi="Calibri"/>
                <w:b w:val="false"/>
                <w:bCs w:val="false"/>
                <w:i w:val="false"/>
                <w:iCs w:val="false"/>
                <w:caps w:val="false"/>
                <w:sz w:val="20"/>
                <w:szCs w:val="20"/>
              </w:rPr>
              <w:t xml:space="preserve">Nachfrage: Ist das Zufall? Oder hat jemand einen Grund, es nicht zu sagen?</w:t>
            </w:r>
          </w:p>
        </w:tc>
      </w:tr>
      <w:tr>
        <w:tc>
          <w:tcPr>
            <w:tcW w:type="pct" w:w="520%"/>
            <w:tcMar>
              <w:top w:type="dxa" w:w="100"/>
              <w:left w:type="dxa" w:w="140"/>
              <w:bottom w:type="dxa" w:w="100"/>
              <w:right w:type="dxa" w:w="140"/>
            </w:tcMar>
          </w:tcPr>
          <w:p>
            <w:pPr>
              <w:spacing w:after="0" w:before="0"/>
            </w:pPr>
            <w:r>
              <w:rPr>
                <w:rFonts w:ascii="Calibri" w:cs="Calibri" w:eastAsia="Calibri" w:hAnsi="Calibri"/>
                <w:b/>
                <w:bCs/>
                <w:i w:val="false"/>
                <w:iCs w:val="false"/>
                <w:caps w:val="false"/>
                <w:color w:val="2E74B5"/>
                <w:sz w:val="20"/>
                <w:szCs w:val="20"/>
              </w:rPr>
              <w:t xml:space="preserve">5</w:t>
            </w:r>
          </w:p>
        </w:tc>
        <w:tc>
          <w:tcPr>
            <w:tcW w:type="pct" w:w="1000%"/>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3 Min.</w:t>
            </w:r>
          </w:p>
        </w:tc>
        <w:tc>
          <w:tcPr>
            <w:tcW w:type="pct" w:w="2100%"/>
            <w:tcMar>
              <w:top w:type="dxa" w:w="100"/>
              <w:left w:type="dxa" w:w="140"/>
              <w:bottom w:type="dxa" w:w="100"/>
              <w:right w:type="dxa" w:w="140"/>
            </w:tcMar>
          </w:tcPr>
          <w:p>
            <w:pPr>
              <w:spacing w:after="0" w:before="0"/>
            </w:pPr>
            <w:r>
              <w:rPr>
                <w:rFonts w:ascii="Calibri" w:cs="Calibri" w:eastAsia="Calibri" w:hAnsi="Calibri"/>
                <w:b/>
                <w:bCs/>
                <w:i w:val="false"/>
                <w:iCs w:val="false"/>
                <w:caps w:val="false"/>
                <w:sz w:val="20"/>
                <w:szCs w:val="20"/>
              </w:rPr>
              <w:t xml:space="preserve">Der Sprung</w:t>
            </w:r>
          </w:p>
        </w:tc>
        <w:tc>
          <w:tcPr>
            <w:tcW w:type="pct" w:w="6086%"/>
            <w:tcMar>
              <w:top w:type="dxa" w:w="100"/>
              <w:left w:type="dxa" w:w="140"/>
              <w:bottom w:type="dxa" w:w="100"/>
              <w:right w:type="dxa" w:w="140"/>
            </w:tcMar>
          </w:tcPr>
          <w:p>
            <w:pPr>
              <w:spacing w:after="80" w:before="0"/>
            </w:pPr>
            <w:r>
              <w:rPr>
                <w:rFonts w:ascii="Calibri" w:cs="Calibri" w:eastAsia="Calibri" w:hAnsi="Calibri"/>
                <w:b w:val="false"/>
                <w:bCs w:val="false"/>
                <w:i w:val="false"/>
                <w:iCs w:val="false"/>
                <w:caps w:val="false"/>
                <w:sz w:val="20"/>
                <w:szCs w:val="20"/>
              </w:rPr>
              <w:t xml:space="preserve">„Diese Sätze sind nicht von heute. So haben Menschen vor über 2100 Jahren geredet.“</w:t>
            </w:r>
          </w:p>
          <w:p>
            <w:pPr>
              <w:spacing w:after="80" w:before="0"/>
            </w:pPr>
            <w:r>
              <w:rPr>
                <w:rFonts w:ascii="Calibri" w:cs="Calibri" w:eastAsia="Calibri" w:hAnsi="Calibri"/>
                <w:b w:val="false"/>
                <w:bCs w:val="false"/>
                <w:i w:val="false"/>
                <w:iCs w:val="false"/>
                <w:caps w:val="false"/>
                <w:sz w:val="20"/>
                <w:szCs w:val="20"/>
              </w:rPr>
              <w:t xml:space="preserve">Praeparatio SB S. 108 auflegen: Nōs semper neglegimur. – Verba nostra nōn audiuntur.</w:t>
            </w:r>
          </w:p>
          <w:p>
            <w:pPr>
              <w:spacing w:after="0" w:before="0"/>
            </w:pPr>
            <w:r>
              <w:rPr>
                <w:rFonts w:ascii="Calibri" w:cs="Calibri" w:eastAsia="Calibri" w:hAnsi="Calibri"/>
                <w:b w:val="false"/>
                <w:bCs w:val="false"/>
                <w:i w:val="false"/>
                <w:iCs w:val="false"/>
                <w:caps w:val="false"/>
                <w:sz w:val="20"/>
                <w:szCs w:val="20"/>
              </w:rPr>
              <w:t xml:space="preserve">Es sind römische Bauern. Sie haben für Rom gekämpft und gesiegt – und ihre Höfe verloren.</w:t>
            </w:r>
          </w:p>
        </w:tc>
      </w:tr>
      <w:tr>
        <w:tc>
          <w:tcPr>
            <w:tcW w:type="pct" w:w="520%"/>
            <w:tcMar>
              <w:top w:type="dxa" w:w="100"/>
              <w:left w:type="dxa" w:w="140"/>
              <w:bottom w:type="dxa" w:w="100"/>
              <w:right w:type="dxa" w:w="140"/>
            </w:tcMar>
          </w:tcPr>
          <w:p>
            <w:pPr>
              <w:spacing w:after="0" w:before="0"/>
            </w:pPr>
            <w:r>
              <w:rPr>
                <w:rFonts w:ascii="Calibri" w:cs="Calibri" w:eastAsia="Calibri" w:hAnsi="Calibri"/>
                <w:b/>
                <w:bCs/>
                <w:i w:val="false"/>
                <w:iCs w:val="false"/>
                <w:caps w:val="false"/>
                <w:color w:val="2E74B5"/>
                <w:sz w:val="20"/>
                <w:szCs w:val="20"/>
              </w:rPr>
              <w:t xml:space="preserve">6</w:t>
            </w:r>
          </w:p>
        </w:tc>
        <w:tc>
          <w:tcPr>
            <w:tcW w:type="pct" w:w="1000%"/>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2 Min.</w:t>
            </w:r>
          </w:p>
        </w:tc>
        <w:tc>
          <w:tcPr>
            <w:tcW w:type="pct" w:w="2100%"/>
            <w:tcMar>
              <w:top w:type="dxa" w:w="100"/>
              <w:left w:type="dxa" w:w="140"/>
              <w:bottom w:type="dxa" w:w="100"/>
              <w:right w:type="dxa" w:w="140"/>
            </w:tcMar>
          </w:tcPr>
          <w:p>
            <w:pPr>
              <w:spacing w:after="0" w:before="0"/>
            </w:pPr>
            <w:r>
              <w:rPr>
                <w:rFonts w:ascii="Calibri" w:cs="Calibri" w:eastAsia="Calibri" w:hAnsi="Calibri"/>
                <w:b/>
                <w:bCs/>
                <w:i w:val="false"/>
                <w:iCs w:val="false"/>
                <w:caps w:val="false"/>
                <w:sz w:val="20"/>
                <w:szCs w:val="20"/>
              </w:rPr>
              <w:t xml:space="preserve">Der Gegenschlag – die Leitfrage</w:t>
            </w:r>
          </w:p>
        </w:tc>
        <w:tc>
          <w:tcPr>
            <w:tcW w:type="pct" w:w="6086%"/>
            <w:tcMar>
              <w:top w:type="dxa" w:w="100"/>
              <w:left w:type="dxa" w:w="140"/>
              <w:bottom w:type="dxa" w:w="100"/>
              <w:right w:type="dxa" w:w="140"/>
            </w:tcMar>
          </w:tcPr>
          <w:p>
            <w:pPr>
              <w:spacing w:after="80" w:before="0"/>
            </w:pPr>
            <w:r>
              <w:rPr>
                <w:rFonts w:ascii="Calibri" w:cs="Calibri" w:eastAsia="Calibri" w:hAnsi="Calibri"/>
                <w:b w:val="false"/>
                <w:bCs w:val="false"/>
                <w:i w:val="false"/>
                <w:iCs w:val="false"/>
                <w:caps w:val="false"/>
                <w:sz w:val="20"/>
                <w:szCs w:val="20"/>
              </w:rPr>
              <w:t xml:space="preserve">„Und wisst ihr, wie genau diese Menschen genannt wurden?“ – Plakat aufdecken: DOMINĪ TERRĀRUM – Herren der Welt.</w:t>
            </w:r>
          </w:p>
          <w:p>
            <w:pPr>
              <w:spacing w:after="0" w:before="0"/>
            </w:pPr>
            <w:r>
              <w:rPr>
                <w:rFonts w:ascii="Calibri" w:cs="Calibri" w:eastAsia="Calibri" w:hAnsi="Calibri"/>
                <w:b w:val="false"/>
                <w:bCs w:val="false"/>
                <w:i w:val="false"/>
                <w:iCs w:val="false"/>
                <w:caps w:val="false"/>
                <w:sz w:val="20"/>
                <w:szCs w:val="20"/>
              </w:rPr>
              <w:t xml:space="preserve">Leitfrage aushängen. Sie bleibt die ganze Einheit über sichtbar.</w:t>
            </w:r>
          </w:p>
        </w:tc>
      </w:tr>
    </w:tbl>
    <w:p>
      <w:pPr>
        <w:keepNext/>
        <w:spacing w:after="120" w:before="320"/>
      </w:pPr>
      <w:r>
        <w:rPr>
          <w:rFonts w:ascii="Calibri" w:cs="Calibri" w:eastAsia="Calibri" w:hAnsi="Calibri"/>
          <w:b/>
          <w:bCs/>
          <w:i w:val="false"/>
          <w:iCs w:val="false"/>
          <w:caps w:val="false"/>
          <w:color w:val="2E74B5"/>
          <w:sz w:val="26"/>
          <w:szCs w:val="26"/>
        </w:rPr>
        <w:t xml:space="preserve">Tafelbild nach Schritt 4</w:t>
      </w:r>
    </w:p>
    <w:tbl>
      <w:tblPr>
        <w:tblW w:type="pct" w:w="100%"/>
        <w:tblBorders>
          <w:top w:val="single" w:color="2E74B5" w:sz="6"/>
          <w:left w:val="single" w:color="2E74B5" w:sz="6"/>
          <w:bottom w:val="single" w:color="2E74B5" w:sz="6"/>
          <w:right w:val="single" w:color="2E74B5" w:sz="6"/>
          <w:insideH w:val="none"/>
          <w:insideV w:val="none"/>
        </w:tblBorders>
      </w:tblPr>
      <w:tblGrid>
        <w:gridCol w:w="100"/>
      </w:tblGrid>
      <w:tr>
        <w:tc>
          <w:tcPr>
            <w:shd w:fill="DCE9F5" w:val="clear"/>
            <w:tcMar>
              <w:top w:type="dxa" w:w="160"/>
              <w:left w:type="dxa" w:w="200"/>
              <w:bottom w:type="dxa" w:w="160"/>
              <w:right w:type="dxa" w:w="200"/>
            </w:tcMar>
          </w:tcPr>
          <w:p>
            <w:pPr>
              <w:spacing w:after="100" w:before="0"/>
              <w:jc w:val="center"/>
            </w:pPr>
            <w:r>
              <w:rPr>
                <w:rFonts w:ascii="Calibri" w:cs="Calibri" w:eastAsia="Calibri" w:hAnsi="Calibri"/>
                <w:b/>
                <w:bCs/>
                <w:i w:val="false"/>
                <w:iCs w:val="false"/>
                <w:caps w:val="false"/>
                <w:color w:val="1F3D5C"/>
                <w:sz w:val="26"/>
                <w:szCs w:val="26"/>
              </w:rPr>
              <w:t xml:space="preserve">Wer tut das alles?</w:t>
            </w:r>
          </w:p>
          <w:p>
            <w:pPr>
              <w:spacing w:after="0" w:before="0"/>
              <w:jc w:val="center"/>
            </w:pPr>
            <w:r>
              <w:rPr>
                <w:rFonts w:ascii="Calibri" w:cs="Calibri" w:eastAsia="Calibri" w:hAnsi="Calibri"/>
                <w:b w:val="false"/>
                <w:bCs w:val="false"/>
                <w:i w:val="false"/>
                <w:iCs w:val="false"/>
                <w:caps w:val="false"/>
                <w:sz w:val="22"/>
                <w:szCs w:val="22"/>
              </w:rPr>
              <w:t xml:space="preserve">In keinem einzigen Satz steht es.</w:t>
            </w:r>
          </w:p>
        </w:tc>
      </w:tr>
    </w:tbl>
    <w:p>
      <w:pPr>
        <w:keepNext/>
        <w:spacing w:after="120" w:before="320"/>
      </w:pPr>
      <w:r>
        <w:rPr>
          <w:rFonts w:ascii="Calibri" w:cs="Calibri" w:eastAsia="Calibri" w:hAnsi="Calibri"/>
          <w:b/>
          <w:bCs/>
          <w:i w:val="false"/>
          <w:iCs w:val="false"/>
          <w:caps w:val="false"/>
          <w:color w:val="2E74B5"/>
          <w:sz w:val="26"/>
          <w:szCs w:val="26"/>
        </w:rPr>
        <w:t xml:space="preserve">Die Leitfrage</w:t>
      </w:r>
    </w:p>
    <w:tbl>
      <w:tblPr>
        <w:tblW w:type="pct" w:w="100%"/>
        <w:tblBorders>
          <w:top w:val="single" w:color="2E74B5" w:sz="6"/>
          <w:left w:val="single" w:color="2E74B5" w:sz="6"/>
          <w:bottom w:val="single" w:color="2E74B5" w:sz="6"/>
          <w:right w:val="single" w:color="2E74B5" w:sz="6"/>
          <w:insideH w:val="none"/>
          <w:insideV w:val="none"/>
        </w:tblBorders>
      </w:tblPr>
      <w:tblGrid>
        <w:gridCol w:w="100"/>
      </w:tblGrid>
      <w:tr>
        <w:tc>
          <w:tcPr>
            <w:shd w:fill="DCE9F5" w:val="clear"/>
            <w:tcMar>
              <w:top w:type="dxa" w:w="160"/>
              <w:left w:type="dxa" w:w="200"/>
              <w:bottom w:type="dxa" w:w="160"/>
              <w:right w:type="dxa" w:w="200"/>
            </w:tcMar>
          </w:tcPr>
          <w:p>
            <w:pPr>
              <w:spacing w:after="60" w:before="0"/>
              <w:jc w:val="center"/>
            </w:pPr>
            <w:r>
              <w:rPr>
                <w:rFonts w:ascii="Calibri" w:cs="Calibri" w:eastAsia="Calibri" w:hAnsi="Calibri"/>
                <w:b/>
                <w:bCs/>
                <w:i w:val="false"/>
                <w:iCs w:val="false"/>
                <w:caps w:val="false"/>
                <w:color w:val="1F3D5C"/>
                <w:sz w:val="30"/>
                <w:szCs w:val="30"/>
              </w:rPr>
              <w:t xml:space="preserve">„Herren der Welt – oder Fremde im eigenen Land?“</w:t>
            </w:r>
          </w:p>
          <w:p>
            <w:pPr>
              <w:spacing w:after="0" w:before="0"/>
              <w:jc w:val="center"/>
            </w:pPr>
            <w:r>
              <w:rPr>
                <w:rFonts w:ascii="Calibri" w:cs="Calibri" w:eastAsia="Calibri" w:hAnsi="Calibri"/>
                <w:b w:val="false"/>
                <w:bCs w:val="false"/>
                <w:i/>
                <w:iCs/>
                <w:caps w:val="false"/>
                <w:color w:val="1F3D5C"/>
                <w:sz w:val="20"/>
                <w:szCs w:val="20"/>
              </w:rPr>
              <w:t xml:space="preserve">Was die römischen Bürger heißen – und was sie sind</w:t>
            </w:r>
          </w:p>
        </w:tc>
      </w:tr>
    </w:tbl>
    <w:p>
      <w:pPr>
        <w:spacing w:after="160" w:before="0"/>
      </w:pPr>
      <w:r>
        <w:rPr>
          <w:rFonts w:ascii="Calibri" w:cs="Calibri" w:eastAsia="Calibri" w:hAnsi="Calibri"/>
          <w:b w:val="false"/>
          <w:bCs w:val="false"/>
          <w:i w:val="false"/>
          <w:iCs w:val="false"/>
          <w:caps w:val="false"/>
          <w:sz w:val="22"/>
          <w:szCs w:val="22"/>
        </w:rPr>
        <w:t xml:space="preserve"/>
      </w:r>
    </w:p>
    <w:p>
      <w:pPr>
        <w:spacing w:after="200" w:before="0"/>
      </w:pPr>
      <w:r>
        <w:rPr>
          <w:rFonts w:ascii="Calibri" w:cs="Calibri" w:eastAsia="Calibri" w:hAnsi="Calibri"/>
          <w:b w:val="false"/>
          <w:bCs w:val="false"/>
          <w:i w:val="false"/>
          <w:iCs w:val="false"/>
          <w:caps w:val="false"/>
          <w:sz w:val="22"/>
          <w:szCs w:val="22"/>
        </w:rPr>
        <w:t xml:space="preserve">Die Klasse sammelt von hier an über die gesamte Einheit Belege für beide Spalten und entscheidet am Ende begründet. Damit ist die Leitfrage kein Abschlussaufsatz, sondern ein Auftrag, der bei jedem Arbeitsblatt mitläuft.</w:t>
      </w:r>
    </w:p>
    <w:p>
      <w:pPr>
        <w:keepNext/>
        <w:spacing w:after="120" w:before="320"/>
      </w:pPr>
      <w:r>
        <w:rPr>
          <w:rFonts w:ascii="Calibri" w:cs="Calibri" w:eastAsia="Calibri" w:hAnsi="Calibri"/>
          <w:b/>
          <w:bCs/>
          <w:i w:val="false"/>
          <w:iCs w:val="false"/>
          <w:caps w:val="false"/>
          <w:color w:val="2E74B5"/>
          <w:sz w:val="26"/>
          <w:szCs w:val="26"/>
        </w:rPr>
        <w:t xml:space="preserve">Zwei Hinweise zur Durchführung</w:t>
      </w:r>
    </w:p>
    <w:p>
      <w:pPr>
        <w:spacing w:after="120" w:before="0"/>
      </w:pPr>
      <w:r>
        <w:rPr>
          <w:rFonts w:ascii="Calibri" w:cs="Calibri" w:eastAsia="Calibri" w:hAnsi="Calibri"/>
          <w:b/>
          <w:bCs/>
          <w:i w:val="false"/>
          <w:iCs w:val="false"/>
          <w:caps w:val="false"/>
          <w:sz w:val="22"/>
          <w:szCs w:val="22"/>
        </w:rPr>
        <w:t xml:space="preserve">Rollenschutz. </w:t>
      </w:r>
      <w:r>
        <w:rPr>
          <w:rFonts w:ascii="Calibri" w:cs="Calibri" w:eastAsia="Calibri" w:hAnsi="Calibri"/>
          <w:b w:val="false"/>
          <w:bCs w:val="false"/>
          <w:i w:val="false"/>
          <w:iCs w:val="false"/>
          <w:caps w:val="false"/>
          <w:sz w:val="22"/>
          <w:szCs w:val="22"/>
        </w:rPr>
        <w:t xml:space="preserve">Sage vor dem Chor ausdrücklich: „Ihr sprecht nicht über euch. Ihr leiht einem Menschen eure Stimme, den es wirklich gab.“ Das macht die Sätze sprechbar, auch für Schülerinnen und Schüler, auf die einer davon zufällig zutreffen könnte.</w:t>
      </w:r>
    </w:p>
    <w:p>
      <w:pPr>
        <w:spacing w:after="120" w:before="0"/>
      </w:pPr>
      <w:r>
        <w:rPr>
          <w:rFonts w:ascii="Calibri" w:cs="Calibri" w:eastAsia="Calibri" w:hAnsi="Calibri"/>
          <w:b/>
          <w:bCs/>
          <w:i w:val="false"/>
          <w:iCs w:val="false"/>
          <w:caps w:val="false"/>
          <w:sz w:val="22"/>
          <w:szCs w:val="22"/>
        </w:rPr>
        <w:t xml:space="preserve">Nicht auflösen, was später kommt. </w:t>
      </w:r>
      <w:r>
        <w:rPr>
          <w:rFonts w:ascii="Calibri" w:cs="Calibri" w:eastAsia="Calibri" w:hAnsi="Calibri"/>
          <w:b w:val="false"/>
          <w:bCs w:val="false"/>
          <w:i w:val="false"/>
          <w:iCs w:val="false"/>
          <w:caps w:val="false"/>
          <w:sz w:val="22"/>
          <w:szCs w:val="22"/>
        </w:rPr>
        <w:t xml:space="preserve">Wenn jemand schon hier fragt, warum man den Täter weglässt, ist das die richtige Frage – notiere sie sichtbar an der Tafel und verweise auf die Übersetzung. Die Antwort steht in der Rede des Gracchus.</w:t>
      </w:r>
    </w:p>
    <w:p>
      <w:pPr>
        <w:keepNext/>
        <w:spacing w:after="120" w:before="320"/>
      </w:pPr>
      <w:r>
        <w:rPr>
          <w:rFonts w:ascii="Calibri" w:cs="Calibri" w:eastAsia="Calibri" w:hAnsi="Calibri"/>
          <w:b/>
          <w:bCs/>
          <w:i w:val="false"/>
          <w:iCs w:val="false"/>
          <w:caps w:val="false"/>
          <w:color w:val="2E74B5"/>
          <w:sz w:val="26"/>
          <w:szCs w:val="26"/>
        </w:rPr>
        <w:t xml:space="preserve">Und danach</w:t>
      </w:r>
    </w:p>
    <w:p>
      <w:pPr>
        <w:spacing w:after="120" w:before="0"/>
      </w:pPr>
      <w:r>
        <w:rPr>
          <w:rFonts w:ascii="Calibri" w:cs="Calibri" w:eastAsia="Calibri" w:hAnsi="Calibri"/>
          <w:b w:val="false"/>
          <w:bCs w:val="false"/>
          <w:i w:val="false"/>
          <w:iCs w:val="false"/>
          <w:caps w:val="false"/>
          <w:sz w:val="22"/>
          <w:szCs w:val="22"/>
        </w:rPr>
        <w:t xml:space="preserve">Direkt anschließend beginnt die Passiv-Einführung mit AB 01b (Passiv im Deutschen). Der Anschluss ist wörtlich da: Alle dreißig Stimmen stehen im Passiv Präsens. Die Klasse hat die Form also schon dreißigmal gehört, bevor sie ihren Namen erfährt.</w:t>
      </w:r>
    </w:p>
    <w:sectPr>
      <w:footerReference w:type="default" r:id="rId7"/>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Calibri" w:cs="Calibri" w:eastAsia="Calibri" w:hAnsi="Calibri"/>
        <w:b w:val="false"/>
        <w:bCs w:val="false"/>
        <w:i w:val="false"/>
        <w:iCs w:val="false"/>
        <w:caps w:val="false"/>
        <w:color w:val="808080"/>
        <w:sz w:val="16"/>
        <w:szCs w:val="16"/>
      </w:rPr>
      <w:t xml:space="preserve">Lektion 15 · Bauern und Adlige  |  AB 01 · Regieblatt Einstieg (Lehrkraft)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2026-08-30T21:11:58.904Z</dcterms:created>
  <dcterms:modified xsi:type="dcterms:W3CDTF">2026-08-30T21:11:58.904Z</dcterms:modified>
</cp:coreProperties>
</file>

<file path=docProps/custom.xml><?xml version="1.0" encoding="utf-8"?>
<Properties xmlns="http://schemas.openxmlformats.org/officeDocument/2006/custom-properties" xmlns:vt="http://schemas.openxmlformats.org/officeDocument/2006/docPropsVTypes"/>
</file>