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4B5" w:sz="8"/>
        </w:pBdr>
        <w:spacing w:after="20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0"/>
          <w:szCs w:val="20"/>
        </w:rPr>
        <w:t xml:space="preserve">Lektion 15 · Bauern und Adlige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808080"/>
          <w:sz w:val="20"/>
          <w:szCs w:val="20"/>
        </w:rPr>
        <w:t xml:space="preserve">					AB 02 · Entdeckung</w:t>
      </w:r>
    </w:p>
    <w:p>
      <w:pPr>
        <w:spacing w:after="60" w:before="0"/>
      </w:pPr>
      <w:r>
        <w:rPr>
          <w:rFonts w:ascii="Cambria" w:cs="Cambria" w:eastAsia="Cambria" w:hAnsi="Cambria"/>
          <w:b/>
          <w:bCs/>
          <w:i/>
          <w:iCs/>
          <w:caps w:val="false"/>
          <w:color w:val="1F3D5C"/>
          <w:sz w:val="34"/>
          <w:szCs w:val="34"/>
        </w:rPr>
        <w:t xml:space="preserve">Nūntius et canis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34"/>
          <w:szCs w:val="34"/>
        </w:rPr>
        <w:t xml:space="preserve">  –  Der Briefträger und der Hund</w:t>
      </w:r>
    </w:p>
    <w:p>
      <w:pPr>
        <w:spacing w:after="3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E74B5"/>
          <w:sz w:val="22"/>
          <w:szCs w:val="22"/>
        </w:rPr>
        <w:t xml:space="preserve">Eine neue Verbform: Was jemandem geschieht</w:t>
      </w:r>
    </w:p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>Aulus beobachtet jeden Tag dasselbe. Sieh dir die sechs Bilder an und übersetze die Sätze darunter.</w:t>
      </w:r>
    </w:p>
    <w:p>
      <w:pPr>
        <w:spacing w:after="240"/>
        <w:jc w:val="center"/>
      </w:pPr>
      <w:r>
        <w:drawing>
          <wp:inline distT="0" distB="0" distL="0" distR="0">
            <wp:extent cx="60960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4"/>
          <w:szCs w:val="24"/>
        </w:rPr>
        <w:t xml:space="preserve">1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24"/>
          <w:szCs w:val="24"/>
        </w:rPr>
        <w:t xml:space="preserve">Übersetze die sechs Sätze.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20"/>
        <w:gridCol w:w="9286"/>
      </w:tblGrid>
      <w:tr>
        <w:tc>
          <w:tcPr>
            <w:tcW w:type="dxa" w:w="420"/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74B5"/>
                <w:sz w:val="22"/>
                <w:szCs w:val="22"/>
              </w:rPr>
              <w:t xml:space="preserve">1</w:t>
            </w:r>
          </w:p>
        </w:tc>
        <w:tc>
          <w:tcPr>
            <w:tcW w:type="dxa" w:w="9286"/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color w:val="1F3D5C"/>
                <w:sz w:val="23"/>
                <w:szCs w:val="23"/>
              </w:rPr>
              <w:t xml:space="preserve">Nūntius ā cane mordētur.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30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20"/>
        <w:gridCol w:w="9286"/>
      </w:tblGrid>
      <w:tr>
        <w:tc>
          <w:tcPr>
            <w:tcW w:type="dxa" w:w="420"/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74B5"/>
                <w:sz w:val="22"/>
                <w:szCs w:val="22"/>
              </w:rPr>
              <w:t xml:space="preserve">2</w:t>
            </w:r>
          </w:p>
        </w:tc>
        <w:tc>
          <w:tcPr>
            <w:tcW w:type="dxa" w:w="9286"/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color w:val="1F3D5C"/>
                <w:sz w:val="23"/>
                <w:szCs w:val="23"/>
              </w:rPr>
              <w:t xml:space="preserve">Nūntius dīcit: „Ā cane mordeor.“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30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20"/>
        <w:gridCol w:w="9286"/>
      </w:tblGrid>
      <w:tr>
        <w:tc>
          <w:tcPr>
            <w:tcW w:type="dxa" w:w="420"/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74B5"/>
                <w:sz w:val="22"/>
                <w:szCs w:val="22"/>
              </w:rPr>
              <w:t xml:space="preserve">3</w:t>
            </w:r>
          </w:p>
        </w:tc>
        <w:tc>
          <w:tcPr>
            <w:tcW w:type="dxa" w:w="9286"/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color w:val="1F3D5C"/>
                <w:sz w:val="23"/>
                <w:szCs w:val="23"/>
              </w:rPr>
              <w:t xml:space="preserve">Nūntiī dīcunt: „Ā cane semper mordēmur.“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30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20"/>
        <w:gridCol w:w="9286"/>
      </w:tblGrid>
      <w:tr>
        <w:tc>
          <w:tcPr>
            <w:tcW w:type="dxa" w:w="420"/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74B5"/>
                <w:sz w:val="22"/>
                <w:szCs w:val="22"/>
              </w:rPr>
              <w:t xml:space="preserve">4</w:t>
            </w:r>
          </w:p>
        </w:tc>
        <w:tc>
          <w:tcPr>
            <w:tcW w:type="dxa" w:w="9286"/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color w:val="1F3D5C"/>
                <w:sz w:val="23"/>
                <w:szCs w:val="23"/>
              </w:rPr>
              <w:t xml:space="preserve">Aulus ad nūntium dīcit: „Tū ā cane mordēris.“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30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20"/>
        <w:gridCol w:w="9286"/>
      </w:tblGrid>
      <w:tr>
        <w:tc>
          <w:tcPr>
            <w:tcW w:type="dxa" w:w="420"/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74B5"/>
                <w:sz w:val="22"/>
                <w:szCs w:val="22"/>
              </w:rPr>
              <w:t xml:space="preserve">5</w:t>
            </w:r>
          </w:p>
        </w:tc>
        <w:tc>
          <w:tcPr>
            <w:tcW w:type="dxa" w:w="9286"/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color w:val="1F3D5C"/>
                <w:sz w:val="23"/>
                <w:szCs w:val="23"/>
              </w:rPr>
              <w:t xml:space="preserve">Aulus ad nūntiōs dīcit: „Vōs ā cane semper mordēminī.“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30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20"/>
        <w:gridCol w:w="9286"/>
      </w:tblGrid>
      <w:tr>
        <w:tc>
          <w:tcPr>
            <w:tcW w:type="dxa" w:w="420"/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74B5"/>
                <w:sz w:val="22"/>
                <w:szCs w:val="22"/>
              </w:rPr>
              <w:t xml:space="preserve">6</w:t>
            </w:r>
          </w:p>
        </w:tc>
        <w:tc>
          <w:tcPr>
            <w:tcW w:type="dxa" w:w="9286"/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color w:val="1F3D5C"/>
                <w:sz w:val="23"/>
                <w:szCs w:val="23"/>
              </w:rPr>
              <w:t xml:space="preserve">Aulus dīcit: „Nūntiī ā canibus saepe mordentur.“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30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2E74B5" w:sz="8"/>
        </w:pBdr>
        <w:spacing w:after="20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0"/>
          <w:szCs w:val="20"/>
        </w:rPr>
        <w:t xml:space="preserve">Lektion 15 · Bauern und Adlige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808080"/>
          <w:sz w:val="20"/>
          <w:szCs w:val="20"/>
        </w:rPr>
        <w:t xml:space="preserve">					AB 02 · Entdeckung</w:t>
      </w:r>
    </w:p>
    <w:tbl>
      <w:tblPr>
        <w:tblW w:type="pct" w:w="100%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none"/>
          <w:insideV w:val="none"/>
        </w:tblBorders>
      </w:tblPr>
      <w:tblGrid>
        <w:gridCol w:w="100"/>
      </w:tblGrid>
      <w:tr>
        <w:tc>
          <w:tcPr>
            <w:shd w:fill="DCE9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74B5"/>
                <w:sz w:val="20"/>
                <w:szCs w:val="20"/>
              </w:rPr>
              <w:t xml:space="preserve">Wortschatz</w:t>
            </w:r>
          </w:p>
          <w:p>
            <w:pPr>
              <w:spacing w:after="6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1"/>
                <w:szCs w:val="21"/>
              </w:rPr>
              <w:t xml:space="preserve">nūntius, nūntiī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1"/>
                <w:szCs w:val="21"/>
              </w:rPr>
              <w:t xml:space="preserve"> m. – der Bote, der Briefträger        </w:t>
            </w: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1"/>
                <w:szCs w:val="21"/>
              </w:rPr>
              <w:t xml:space="preserve">canis, canis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1"/>
                <w:szCs w:val="21"/>
              </w:rPr>
              <w:t xml:space="preserve"> m./f. – der Hund</w:t>
            </w:r>
          </w:p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1"/>
                <w:szCs w:val="21"/>
              </w:rPr>
              <w:t xml:space="preserve">mordēre, mordeō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1"/>
                <w:szCs w:val="21"/>
              </w:rPr>
              <w:t xml:space="preserve"> – beißen        </w:t>
            </w: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1"/>
                <w:szCs w:val="21"/>
              </w:rPr>
              <w:t xml:space="preserve">semper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1"/>
                <w:szCs w:val="21"/>
              </w:rPr>
              <w:t xml:space="preserve"> – immer        </w:t>
            </w: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1"/>
                <w:szCs w:val="21"/>
              </w:rPr>
              <w:t xml:space="preserve">saepe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1"/>
                <w:szCs w:val="21"/>
              </w:rPr>
              <w:t xml:space="preserve"> – oft        </w:t>
            </w: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1"/>
                <w:szCs w:val="21"/>
              </w:rPr>
              <w:t xml:space="preserve">ā / ab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1"/>
                <w:szCs w:val="21"/>
              </w:rPr>
              <w:t xml:space="preserve"> (+ Abl.) – von</w:t>
            </w:r>
          </w:p>
        </w:tc>
      </w:tr>
    </w:tbl>
    <w:p>
      <w:pPr>
        <w:spacing w:after="2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4"/>
          <w:szCs w:val="24"/>
        </w:rPr>
        <w:t xml:space="preserve">2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24"/>
          <w:szCs w:val="24"/>
        </w:rPr>
        <w:t xml:space="preserve">Sammle die Verbformen aus den sechs Sätzen in der Tabelle.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1"/>
          <w:szCs w:val="21"/>
        </w:rPr>
        <w:t xml:space="preserve">Trage jede Form ein, ringle die Endung ein und schreibe die Übersetzung daneben. Eine Zeile ist schon ausgefüllt.</w:t>
      </w:r>
    </w:p>
    <w:tbl>
      <w:tblPr>
        <w:tblW w:type="pct" w:w="100%"/>
        <w:tblBorders>
          <w:top w:val="single" w:color="2E74B5" w:sz="4"/>
          <w:left w:val="single" w:color="2E74B5" w:sz="4"/>
          <w:bottom w:val="single" w:color="2E74B5" w:sz="4"/>
          <w:right w:val="single" w:color="2E74B5" w:sz="4"/>
          <w:insideH w:val="single" w:color="AFC8DE" w:sz="2"/>
          <w:insideV w:val="single" w:color="AFC8DE" w:sz="2"/>
        </w:tblBorders>
      </w:tblPr>
      <w:tblGrid>
        <w:gridCol w:w="2500"/>
        <w:gridCol w:w="2500"/>
        <w:gridCol w:w="1500"/>
        <w:gridCol w:w="3206"/>
      </w:tblGrid>
      <w:tr>
        <w:trPr>
          <w:tblHeader/>
        </w:trPr>
        <w:tc>
          <w:tcPr>
            <w:tcW w:type="dxa" w:w="2500"/>
            <w:shd w:fill="DCE9F5" w:val="clear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Person und Numerus</w:t>
            </w:r>
          </w:p>
        </w:tc>
        <w:tc>
          <w:tcPr>
            <w:tcW w:type="dxa" w:w="2500"/>
            <w:shd w:fill="DCE9F5" w:val="clear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lateinische Form</w:t>
            </w:r>
          </w:p>
        </w:tc>
        <w:tc>
          <w:tcPr>
            <w:tcW w:type="dxa" w:w="1500"/>
            <w:shd w:fill="DCE9F5" w:val="clear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Endung</w:t>
            </w:r>
          </w:p>
        </w:tc>
        <w:tc>
          <w:tcPr>
            <w:tcW w:type="dxa" w:w="3206"/>
            <w:shd w:fill="DCE9F5" w:val="clear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deutsche Übersetzung</w:t>
            </w:r>
          </w:p>
        </w:tc>
      </w:tr>
      <w:tr>
        <w:tc>
          <w:tcPr>
            <w:tcW w:type="dxa" w:w="2500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1"/>
                <w:szCs w:val="21"/>
              </w:rPr>
              <w:t xml:space="preserve">1. Person Singular</w:t>
            </w:r>
          </w:p>
        </w:tc>
        <w:tc>
          <w:tcPr>
            <w:tcW w:type="dxa" w:w="2500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06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1"/>
                <w:szCs w:val="21"/>
              </w:rPr>
              <w:t xml:space="preserve">2. Person Singular</w:t>
            </w:r>
          </w:p>
        </w:tc>
        <w:tc>
          <w:tcPr>
            <w:tcW w:type="dxa" w:w="2500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06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1"/>
                <w:szCs w:val="21"/>
              </w:rPr>
              <w:t xml:space="preserve">3. Person Singular</w:t>
            </w:r>
          </w:p>
        </w:tc>
        <w:tc>
          <w:tcPr>
            <w:tcW w:type="dxa" w:w="2500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sz w:val="22"/>
                <w:szCs w:val="22"/>
              </w:rPr>
              <w:t xml:space="preserve">mordētur</w:t>
            </w:r>
          </w:p>
        </w:tc>
        <w:tc>
          <w:tcPr>
            <w:tcW w:type="dxa" w:w="1500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sz w:val="22"/>
                <w:szCs w:val="22"/>
              </w:rPr>
              <w:t xml:space="preserve">-tur</w:t>
            </w:r>
          </w:p>
        </w:tc>
        <w:tc>
          <w:tcPr>
            <w:tcW w:type="dxa" w:w="3206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1"/>
                <w:szCs w:val="21"/>
              </w:rPr>
              <w:t xml:space="preserve">er / sie wird gebissen</w:t>
            </w:r>
          </w:p>
        </w:tc>
      </w:tr>
      <w:tr>
        <w:tc>
          <w:tcPr>
            <w:tcW w:type="dxa" w:w="2500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1"/>
                <w:szCs w:val="21"/>
              </w:rPr>
              <w:t xml:space="preserve">1. Person Plural</w:t>
            </w:r>
          </w:p>
        </w:tc>
        <w:tc>
          <w:tcPr>
            <w:tcW w:type="dxa" w:w="2500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06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1"/>
                <w:szCs w:val="21"/>
              </w:rPr>
              <w:t xml:space="preserve">2. Person Plural</w:t>
            </w:r>
          </w:p>
        </w:tc>
        <w:tc>
          <w:tcPr>
            <w:tcW w:type="dxa" w:w="2500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06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1"/>
                <w:szCs w:val="21"/>
              </w:rPr>
              <w:t xml:space="preserve">3. Person Plural</w:t>
            </w:r>
          </w:p>
        </w:tc>
        <w:tc>
          <w:tcPr>
            <w:tcW w:type="dxa" w:w="2500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06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3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4"/>
          <w:szCs w:val="24"/>
        </w:rPr>
        <w:t xml:space="preserve">3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24"/>
          <w:szCs w:val="24"/>
        </w:rPr>
        <w:t xml:space="preserve">Vergleiche mit den Formen, die du schon kennst.</w:t>
      </w:r>
    </w:p>
    <w:p>
      <w:pPr>
        <w:spacing w:after="60" w:before="0"/>
      </w:pPr>
      <w:r>
        <w:rPr>
          <w:rFonts w:ascii="Cambria" w:cs="Cambria" w:eastAsia="Cambria" w:hAnsi="Cambria"/>
          <w:b/>
          <w:bCs/>
          <w:i/>
          <w:iCs/>
          <w:caps w:val="false"/>
          <w:color w:val="1F3D5C"/>
          <w:sz w:val="23"/>
          <w:szCs w:val="23"/>
        </w:rPr>
        <w:t xml:space="preserve">mordeō – mordēs – mordet – mordēmus – mordētis – mordent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1"/>
          <w:szCs w:val="21"/>
        </w:rPr>
        <w:t xml:space="preserve">Was ist bei den neuen Formen gleich geblieben? Was ist neu? Und was bedeuten die neuen Formen anders?</w:t>
      </w:r>
    </w:p>
    <w:tbl>
      <w:tblPr>
        <w:tblW w:type="pct" w:w="100%"/>
        <w:tblBorders>
          <w:top w:val="none"/>
          <w:left w:val="none"/>
          <w:bottom w:val="single" w:color="AAAAAA" w:sz="4"/>
          <w:right w:val="none"/>
          <w:insideH w:val="single" w:color="AAAAAA" w:sz="4"/>
          <w:insideV w:val="none"/>
        </w:tblBorders>
      </w:tblPr>
      <w:tblGrid>
        <w:gridCol w:w="100"/>
      </w:tblGrid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</w:tbl>
    <w:p>
      <w:pPr>
        <w:spacing w:after="3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tbl>
      <w:tblPr>
        <w:tblW w:type="pct" w:w="100%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none"/>
          <w:insideV w:val="none"/>
        </w:tblBorders>
      </w:tblPr>
      <w:tblGrid>
        <w:gridCol w:w="100"/>
      </w:tblGrid>
      <w:tr>
        <w:tc>
          <w:tcPr>
            <w:shd w:fill="DCE9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D5C"/>
                <w:sz w:val="22"/>
                <w:szCs w:val="22"/>
              </w:rPr>
              <w:t xml:space="preserve">Warum machst du das?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1"/>
                <w:szCs w:val="21"/>
              </w:rPr>
              <w:t xml:space="preserve">Beim Einstieg hast du dreißig Sätze gehört, in denen niemand vorkam, der handelt: „Ich werde übersehen.“ – von wem? Genau das kann diese neue Form. Sie erzählt nicht, was jemand tut, sondern was ihm geschieht. Wer sie lesen kann, kann auch die Rede des Tiberius Gracchus lesen – und dort steht, was den römischen Bauern geschieht.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999999" w:sz="4"/>
          <w:insideV w:val="none"/>
        </w:tblBorders>
      </w:tblPr>
      <w:tblGrid>
        <w:gridCol w:w="100"/>
      </w:tblGrid>
      <w:tr>
        <w:tc>
          <w:tcPr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20"/>
                <w:szCs w:val="20"/>
              </w:rPr>
              <w:t xml:space="preserve">Name:</w:t>
            </w:r>
          </w:p>
        </w:tc>
      </w:tr>
      <w:tr>
        <w:tc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800" w:right="1100" w:bottom="8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808080"/>
        <w:sz w:val="16"/>
        <w:szCs w:val="16"/>
      </w:rPr>
      <w:t xml:space="preserve">Lektion 15 · Bauern und Adlige  |  AB 02 · Nūntius et canis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1470a10d5dd7fdd5979a0737deabff26a2ee7d6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2026-08-30T21:30:00.299Z</dcterms:created>
  <dcterms:modified xsi:type="dcterms:W3CDTF">2026-08-30T21:30:00.300Z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