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02c · Entdeckung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i/>
          <w:iCs/>
          <w:caps w:val="false"/>
          <w:color w:val="1F3D5C"/>
          <w:sz w:val="34"/>
          <w:szCs w:val="34"/>
        </w:rPr>
        <w:t xml:space="preserve">Nūntius et canis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4"/>
          <w:szCs w:val="34"/>
        </w:rPr>
        <w:t xml:space="preserve">  –  Der Briefträger und der Hund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Eine neue Verbform: Was jemandem geschieht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Aulus beobachtet jeden Tag dasselbe. Sieh dir die sechs Bilder an und übersetze die Sätze darunter.</w:t>
      </w:r>
    </w:p>
    <w:p>
      <w:pPr>
        <w:spacing w:after="240"/>
        <w:jc w:val="center"/>
      </w:pPr>
      <w:r>
        <w:drawing>
          <wp:inline distT="0" distB="0" distL="0" distR="0">
            <wp:extent cx="6096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Übersetze die sechs Sätze.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1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Nūntius ā cane mordētur.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2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Nūntius dīcit: „Ā cane mordeor.“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3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Nūntiī dīcunt: „Ā cane semper mordēmur.“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4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ad nūntium dīcit: „Tū ā cane mordēris.“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5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ad nūntiōs dīcit: „Vōs ā cane semper mordēminī.“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"/>
        <w:gridCol w:w="9286"/>
      </w:tblGrid>
      <w:tr>
        <w:tc>
          <w:tcPr>
            <w:tcW w:type="dxa" w:w="42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6</w:t>
            </w:r>
          </w:p>
        </w:tc>
        <w:tc>
          <w:tcPr>
            <w:tcW w:type="dxa" w:w="9286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23"/>
                <w:szCs w:val="23"/>
              </w:rPr>
              <w:t xml:space="preserve">Aulus dīcit: „Nūntiī ā canibus saepe mordentur.“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3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02c · Entdeckung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0"/>
                <w:szCs w:val="20"/>
              </w:rPr>
              <w:t xml:space="preserve">Wortschatz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nūntius, nūntiī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m. – der Bote, der Briefträger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canis, canis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m./f. – der Hund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mordēre, mordeō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beißen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semper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immer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saepe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– oft        </w:t>
            </w: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1"/>
                <w:szCs w:val="21"/>
              </w:rPr>
              <w:t xml:space="preserve">ā / ab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 (+ Abl.) – von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Sammle die Verbformen aus den sechs Sätzen in der Tabelle.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Trage jede Form ein, ringle die Endung ein und schreibe die Übersetzung daneben. Eine Zeile ist schon ausgefüllt.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500"/>
        <w:gridCol w:w="2500"/>
        <w:gridCol w:w="1500"/>
        <w:gridCol w:w="3206"/>
      </w:tblGrid>
      <w:tr>
        <w:trPr>
          <w:tblHeader/>
        </w:trPr>
        <w:tc>
          <w:tcPr>
            <w:tcW w:type="dxa" w:w="2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Person und Numerus</w:t>
            </w:r>
          </w:p>
        </w:tc>
        <w:tc>
          <w:tcPr>
            <w:tcW w:type="dxa" w:w="2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lateinische Form</w:t>
            </w:r>
          </w:p>
        </w:tc>
        <w:tc>
          <w:tcPr>
            <w:tcW w:type="dxa" w:w="1500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Endung</w:t>
            </w:r>
          </w:p>
        </w:tc>
        <w:tc>
          <w:tcPr>
            <w:tcW w:type="dxa" w:w="3206"/>
            <w:shd w:fill="DCE9F5" w:val="clear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deutsche Übersetzung</w:t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1.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2.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3. Person Singular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2"/>
                <w:szCs w:val="22"/>
              </w:rPr>
              <w:t xml:space="preserve">mordētur</w:t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2"/>
                <w:szCs w:val="22"/>
              </w:rPr>
              <w:t xml:space="preserve">-tur</w:t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er / sie wird gebissen</w:t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1.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2.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3. Person Plural</w:t>
            </w:r>
          </w:p>
        </w:tc>
        <w:tc>
          <w:tcPr>
            <w:tcW w:type="dxa" w:w="2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Vergleiche mit den Formen, die du schon kennst.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i/>
          <w:iCs/>
          <w:caps w:val="false"/>
          <w:color w:val="1F3D5C"/>
          <w:sz w:val="23"/>
          <w:szCs w:val="23"/>
        </w:rPr>
        <w:t xml:space="preserve">mordeō – mordēs – mordet – mordēmus – mordētis – mordent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Was ist bei den neuen Formen gleich geblieben? Was ist neu? Und was bedeuten die neuen Formen anders?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14"/>
          <w:left w:val="single" w:color="2E74B5" w:sz="14"/>
          <w:bottom w:val="single" w:color="2E74B5" w:sz="14"/>
          <w:right w:val="single" w:color="2E74B5" w:sz="1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200"/>
              <w:left w:type="dxa" w:w="240"/>
              <w:bottom w:type="dxa" w:w="2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Merke – mein Passiv-Merkzettel</w:t>
            </w:r>
          </w:p>
          <w:p>
            <w:pPr>
              <w:spacing w:after="20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9"/>
                <w:szCs w:val="19"/>
              </w:rPr>
              <w:t xml:space="preserve">Diesen Kasten füllst du nach jedem Grammatikblatt weiter. Er ist am Ende dein eigener Merkzettel.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Wozu gibt es das Passiv? Was kann es, was das Aktiv nicht kann?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Das kann ich jetzt schon (AB 02):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02c · Nūntius et canis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37d1af7ce899ed14925eeb88681b91c2ab4fcd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2026-08-30T21:59:26.162Z</dcterms:created>
  <dcterms:modified xsi:type="dcterms:W3CDTF">2026-08-30T21:59:26.163Z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