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 – wenig Hilfen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3D5C"/>
          <w:sz w:val="33"/>
          <w:szCs w:val="33"/>
        </w:rPr>
        <w:t xml:space="preserve">Tiberius Gracchus kämpft für die Armen</w:t>
      </w:r>
    </w:p>
    <w:p>
      <w:pPr>
        <w:spacing w:after="3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E74B5"/>
          <w:sz w:val="22"/>
          <w:szCs w:val="22"/>
        </w:rPr>
        <w:t xml:space="preserve">Übersetzung mit Vokabelhilfen · Schülerbuch S. 109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999999" w:sz="4"/>
          <w:insideV w:val="none"/>
        </w:tblBorders>
      </w:tblPr>
      <w:tblGrid>
        <w:gridCol w:w="100"/>
      </w:tblGrid>
      <w:tr>
        <w:tc>
          <w:tcPr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20"/>
                <w:szCs w:val="20"/>
              </w:rPr>
              <w:t xml:space="preserve">Name:</w:t>
            </w:r>
          </w:p>
        </w:tc>
      </w:tr>
      <w:tr>
        <w:tc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So arbeitest du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0"/>
                <w:szCs w:val="20"/>
              </w:rPr>
              <w:t xml:space="preserve">Übersetze Zeile für Zeile auf die Linie darunter. Wenn du bei einer Zeile hängst, überspringe sie und komm später zurück – der Zusammenhang hilft dir oft mehr als das Wörterbuch. Du darfst die Hilfen-Stufe jederzeit wechseln.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sz w:val="20"/>
                <w:szCs w:val="20"/>
              </w:rPr>
              <w:t xml:space="preserve">Achte besonders auf die Passivformen. Frage bei jeder: Wem geschieht das – und steht dabei, wer es tut?</w:t>
            </w:r>
          </w:p>
        </w:tc>
      </w:tr>
    </w:tbl>
    <w:p>
      <w:pPr>
        <w:spacing w:after="2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0"/>
        <w:gridCol w:w="6100"/>
        <w:gridCol w:w="3086"/>
      </w:tblGrid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Tiberius Gracchus rōstra ascendit et „Quirītēs“, inquit, „audīte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rōstra ascendere: die Rednerbühne besteigen · Quirītēs: die römischen Bürger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mē! Nōbilēs enim cīvēs Rōmānōs ab agrīs pepulērunt. Tamen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pellere, pepulī: vertreiben · tamen: dennoch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nōn pūniuntur. Nihil agitur, quamquam vōs, virī probī, famē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pūnīre: bestrafen · agere: tun · quamquam: obwohl · probus: anständig · famēs: der Hunger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labōrātis. Nihil agitur, quamquam uxōrēs et līberī vestrī famē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labōrāre (+ Abl.): leiden an · uxor: die Ehefrau · līberī: die Kinder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5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urgentur!“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urgēre: bedrängen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Subitō ūnus ē nōbilibus clāmāvit: „Adūlātor! Grātiam populī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subitō: plötzlich · adūlātor: der Schmeichler · grātia: die Gunst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quaeris.“ Iam clāmor hominum īrātōrum audiēbātur, etiam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quaerere: suchen · clāmor: das Geschrei · īrātus: zornig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lapidēs in Tiberium Gracchum iaciēbantur, cum hic respondit: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lapis: der Stein · iacere in (+ Akk.): werfen auf · cum: als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„Num ā tē adūlātor appellor, quod dē populō cūrō?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num …?: etwa …? · appellāre: nennen · cūrāre dē: sich kümmern um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10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Tē moneō: Tacē aut iactāberis ē forō!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monēre: ermahnen · tacēre: schweigen · iactāre: hinauswerfen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Quirītēs, aurēs iterum mihi praebēte! Nūper prō patriā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auris: das Ohr · aurēs praebēre: Gehör schenken · nūper: neulich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pūgnāvistis et vīcistis prō glōriā Rōmānōrum. Itane vērō?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pūgnāre: kämpfen · vincere, vīcī: siegen · glōria: der Ruhm · itane vērō?: Ist das wirklich so?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Licetne vōs victōrēs appellārī? Sinitis vōs ē sēdibus vestrīs pellī.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licet: es ist erlaubt · victor: der Sieger · sinere: zulassen · sēdēs: der Wohnsitz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Appellāminī dominī terrārum, nunc autem patria sēdēsque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dominus: der Herr · terra: die Erde, das Land · autem: aber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15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occupantur et errātis per terrās. Nōn prō glōriā Rōmānōrum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occupāre: besetzen · errāre: umherirren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vīcistis, sed prō lūxuriā et avāritiā paucōrum!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lūxuria: die Genusssucht · avāritia: die Habgier · paucī: wenige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Quamdiū igitur opprimimur ab hominibus scelestīs? Hodiē ā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quamdiū?: wie lange? · opprimere: unterdrücken · scelestus: verbrecherisch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mē lēx nova rogābitur. Accipite, Quirītēs, hanc lēgem et agrī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lēx: das Gesetz · rogāre: (ein Gesetz) beantragen · accipere: annehmen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mox vōbīs reddentur. Accipite hanc lēgem et cūncta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mox: bald · reddere: zurückgeben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6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7"/>
                <w:szCs w:val="17"/>
              </w:rPr>
              <w:t xml:space="preserve">20</w:t>
            </w:r>
          </w:p>
        </w:tc>
        <w:tc>
          <w:tcPr>
            <w:tcW w:type="dxa" w:w="61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0"/>
              <w:bottom w:type="dxa" w:w="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aps w:val="false"/>
                <w:color w:val="1F3D5C"/>
                <w:sz w:val="23"/>
                <w:szCs w:val="23"/>
              </w:rPr>
              <w:t xml:space="preserve">mūtābuntur.“</w:t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left w:type="dxa" w:w="10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08080"/>
                <w:sz w:val="16"/>
                <w:szCs w:val="16"/>
              </w:rPr>
              <w:t xml:space="preserve">cūncta: alles · mūtāre: verändern</w:t>
            </w:r>
          </w:p>
        </w:tc>
      </w:tr>
      <w:tr>
        <w:tc>
          <w:tcPr>
            <w:tcW w:type="dxa" w:w="52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6100"/>
            <w:tcBorders>
              <w:top w:val="none"/>
              <w:left w:val="none"/>
              <w:bottom w:val="single" w:color="AAAAAA" w:sz="4"/>
              <w:right w:val="none"/>
            </w:tcBorders>
            <w:tcMar>
              <w:top w:type="dxa" w:w="250"/>
              <w:left w:type="dxa" w:w="0"/>
              <w:bottom w:type="dxa" w:w="4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  <w:tc>
          <w:tcPr>
            <w:tcW w:type="dxa" w:w="3086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Quirītēs, Quirītium m. Pl.: die römischen Bürger  ·  adūlātor, adūlātōris m.: der Schmeichler  ·  rogāre, rogō: hier: (ein Gesetz) beantragen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17"/>
          <w:szCs w:val="17"/>
        </w:rPr>
        <w:t xml:space="preserve">nach: Plutarch, Parallelbiographien  ·  Schülerbuch S. 109</w:t>
      </w:r>
    </w:p>
    <w:p>
      <w:r>
        <w:br w:type="page"/>
      </w:r>
    </w:p>
    <w:p>
      <w:pPr>
        <w:pBdr>
          <w:bottom w:val="single" w:color="2E74B5" w:sz="8"/>
        </w:pBd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0"/>
          <w:szCs w:val="20"/>
        </w:rPr>
        <w:t xml:space="preserve">Lektion 15 · Bauern und Adlige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08080"/>
          <w:sz w:val="20"/>
          <w:szCs w:val="20"/>
        </w:rPr>
        <w:t xml:space="preserve">					AB 08 · Übersetzung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6"/>
          <w:szCs w:val="26"/>
        </w:rPr>
        <w:t xml:space="preserve">Fragen zum Text</w:t>
      </w:r>
    </w:p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1"/>
          <w:szCs w:val="21"/>
        </w:rPr>
        <w:t xml:space="preserve">Erst beantworten, wenn du übersetzt hast. Gib bei jeder Antwort die Zeile an.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Suche drei Stellen, an denen den Bürgern etwas geschieht, ohne dass gesagt wird, wer es tut. Notiere Zeile und Form.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An genau drei Stellen nennt Gracchus den Handelnden (ā tē, ab hominibus scelestīs, ā mē). Was haben diese drei gemeinsam?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Wie werden die Bürger in Zeile 13 und 14 genannt? Wie geht es ihnen laut Zeile 15?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E74B5"/>
          <w:sz w:val="23"/>
          <w:szCs w:val="23"/>
        </w:rPr>
        <w:t xml:space="preserve">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>Was verspricht Gracchus in Zeile 18–20 – und wer soll es tun?</w:t>
      </w:r>
    </w:p>
    <w:tbl>
      <w:tblPr>
        <w:tblW w:type="pct" w:w="100%"/>
        <w:tblBorders>
          <w:top w:val="none"/>
          <w:left w:val="none"/>
          <w:bottom w:val="single" w:color="AAAAAA" w:sz="4"/>
          <w:right w:val="none"/>
          <w:insideH w:val="single" w:color="AAAAAA" w:sz="4"/>
          <w:insideV w:val="none"/>
        </w:tblBorders>
      </w:tblPr>
      <w:tblGrid>
        <w:gridCol w:w="100"/>
      </w:tblGrid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  <w:tr>
        <w:tc>
          <w:tcPr>
            <w:tcMar>
              <w:top w:type="dxa" w:w="230"/>
              <w:left w:type="dxa" w:w="0"/>
              <w:bottom w:type="dxa" w:w="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12"/>
                <w:szCs w:val="12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sz w:val="22"/>
          <w:szCs w:val="22"/>
        </w:rPr>
        <w:t xml:space="preserve"/>
      </w:r>
    </w:p>
    <w:tbl>
      <w:tblPr>
        <w:tblW w:type="pct" w:w="100%"/>
        <w:tblBorders>
          <w:top w:val="single" w:color="2E74B5" w:sz="6"/>
          <w:left w:val="single" w:color="2E74B5" w:sz="6"/>
          <w:bottom w:val="single" w:color="2E74B5" w:sz="6"/>
          <w:right w:val="single" w:color="2E74B5" w:sz="6"/>
          <w:insideH w:val="none"/>
          <w:insideV w:val="none"/>
        </w:tblBorders>
      </w:tblPr>
      <w:tblGrid>
        <w:gridCol w:w="100"/>
      </w:tblGrid>
      <w:tr>
        <w:tc>
          <w:tcPr>
            <w:shd w:fill="DCE9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F3D5C"/>
                <w:sz w:val="21"/>
                <w:szCs w:val="21"/>
              </w:rPr>
              <w:t xml:space="preserve">Und jetzt zur Beleg-Tafel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sz w:val="21"/>
                <w:szCs w:val="21"/>
              </w:rPr>
              <w:t xml:space="preserve">Du hast den Text. Trage ein, was du gefunden hast: links, wie die Bürger genannt werden – rechts, wie es ihnen geht. Jeder Eintrag mit Zeilenangabe.</w:t>
            </w:r>
          </w:p>
        </w:tc>
      </w:tr>
    </w:tbl>
    <w:sectPr>
      <w:footerReference w:type="default" r:id="rId7"/>
      <w:pgSz w:w="11906" w:h="16838" w:orient="portrait"/>
      <w:pgMar w:top="800" w:right="1100" w:bottom="8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08080"/>
        <w:sz w:val="16"/>
        <w:szCs w:val="16"/>
      </w:rPr>
      <w:t xml:space="preserve">Lektion 15 · Bauern und Adlige  |  AB 08 · Übersetzung (wenig Hilfen)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2026-08-30T22:09:27.325Z</dcterms:created>
  <dcterms:modified xsi:type="dcterms:W3CDTF">2026-08-30T22:09:27.325Z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