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09 · Lösung</w:t>
      </w:r>
    </w:p>
    <w:p>
      <w:pPr>
        <w:spacing w:after="60" w:before="0"/>
      </w:pPr>
      <w:r>
        <w:rPr>
          <w:rFonts w:ascii="Calibri" w:cs="Calibri" w:eastAsia="Calibri" w:hAnsi="Calibri"/>
          <w:b/>
          <w:bCs/>
          <w:i w:val="false"/>
          <w:iCs w:val="false"/>
          <w:caps w:val="false"/>
          <w:color w:val="1F3D5C"/>
          <w:sz w:val="33"/>
          <w:szCs w:val="33"/>
        </w:rPr>
        <w:t xml:space="preserve">Erwartungshorizont zu AB 09</w:t>
      </w:r>
    </w:p>
    <w:p>
      <w:pPr>
        <w:spacing w:after="300" w:before="0"/>
      </w:pPr>
      <w:r>
        <w:rPr>
          <w:rFonts w:ascii="Calibri" w:cs="Calibri" w:eastAsia="Calibri" w:hAnsi="Calibri"/>
          <w:b w:val="false"/>
          <w:bCs w:val="false"/>
          <w:i w:val="false"/>
          <w:iCs w:val="false"/>
          <w:caps w:val="false"/>
          <w:color w:val="2E74B5"/>
          <w:sz w:val="22"/>
          <w:szCs w:val="22"/>
        </w:rPr>
        <w:t xml:space="preserve">Für die Selbstkontrolle und das Gespräch beim Grammaticus</w:t>
      </w:r>
    </w:p>
    <w:p>
      <w:pPr>
        <w:spacing w:after="100" w:before="200"/>
      </w:pPr>
      <w:r>
        <w:rPr>
          <w:rFonts w:ascii="Calibri" w:cs="Calibri" w:eastAsia="Calibri" w:hAnsi="Calibri"/>
          <w:b/>
          <w:bCs/>
          <w:i w:val="false"/>
          <w:iCs w:val="false"/>
          <w:caps w:val="false"/>
          <w:color w:val="2E74B5"/>
          <w:sz w:val="24"/>
          <w:szCs w:val="24"/>
        </w:rPr>
        <w:t xml:space="preserve">1  </w:t>
      </w:r>
      <w:r>
        <w:rPr>
          <w:rFonts w:ascii="Calibri" w:cs="Calibri" w:eastAsia="Calibri" w:hAnsi="Calibri"/>
          <w:b/>
          <w:bCs/>
          <w:i w:val="false"/>
          <w:iCs w:val="false"/>
          <w:caps w:val="false"/>
          <w:color w:val="1F3D5C"/>
          <w:sz w:val="24"/>
          <w:szCs w:val="24"/>
        </w:rPr>
        <w:t xml:space="preserve">Die drei Fassungen im Vergleich</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700"/>
        <w:gridCol w:w="4500"/>
        <w:gridCol w:w="4506"/>
      </w:tblGrid>
      <w:tr>
        <w:trPr>
          <w:tblHeader/>
        </w:trPr>
        <w:tc>
          <w:tcPr>
            <w:tcW w:type="dxa" w:w="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
            </w:r>
          </w:p>
        </w:tc>
        <w:tc>
          <w:tcPr>
            <w:tcW w:type="dxa" w:w="45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Stärke</w:t>
            </w:r>
          </w:p>
        </w:tc>
        <w:tc>
          <w:tcPr>
            <w:tcW w:type="dxa" w:w="45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Schwäche</w:t>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w:t>
            </w:r>
          </w:p>
        </w:tc>
        <w:tc>
          <w:tcPr>
            <w:tcW w:type="dxa" w:w="4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Sehr nah am lateinischen Wortlaut; alle Formen sind korrekt erfasst, auch die beiden Infinitive Passiv.</w:t>
            </w:r>
          </w:p>
        </w:tc>
        <w:tc>
          <w:tcPr>
            <w:tcW w:type="dxa" w:w="45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Klingt an mehreren Stellen unnatürlich („die Ohren hinhalten“, „aus euren Sitzen“, „So wirklich?“). Wer so übersetzt, versteht den Text – aber niemand würde so sprechen.</w:t>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B</w:t>
            </w:r>
          </w:p>
        </w:tc>
        <w:tc>
          <w:tcPr>
            <w:tcW w:type="dxa" w:w="4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Trifft den Ton einer Rede. „Herren der Welt nennt man euch“ gibt das Passiv mit man wieder – eine der drei erlaubten Wiedergaben. Der Doppelklang Welt … Welt bleibt erhalten.</w:t>
            </w:r>
          </w:p>
        </w:tc>
        <w:tc>
          <w:tcPr>
            <w:tcW w:type="dxa" w:w="45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„werden euch Heimat und Wohnsitz genommen“ ist etwas freier als occupantur; der Vorwurf sinitis („ihr lasst zu“) ist gut getroffen.</w:t>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C</w:t>
            </w:r>
          </w:p>
        </w:tc>
        <w:tc>
          <w:tcPr>
            <w:tcW w:type="dxa" w:w="4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Sehr flüssig und verständlich; das Tempo einer Rede kommt gut heraus.</w:t>
            </w:r>
          </w:p>
        </w:tc>
        <w:tc>
          <w:tcPr>
            <w:tcW w:type="dxa" w:w="45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Zu viel geht verloren: prō glōriā Rōmānōrum ist einfach „für Rom“; „lauft durch die Gegend“ verliert die Bitterkeit von errātis; und terrārum … terrās ist ganz verschwunden. Damit fällt die wichtigste Stelle des Abschnitts weg.</w:t>
            </w:r>
          </w:p>
        </w:tc>
      </w:tr>
    </w:tbl>
    <w:p>
      <w:pPr>
        <w:spacing w:after="100" w:before="200"/>
      </w:pPr>
      <w:r>
        <w:rPr>
          <w:rFonts w:ascii="Calibri" w:cs="Calibri" w:eastAsia="Calibri" w:hAnsi="Calibri"/>
          <w:b/>
          <w:bCs/>
          <w:i w:val="false"/>
          <w:iCs w:val="false"/>
          <w:caps w:val="false"/>
          <w:color w:val="2E74B5"/>
          <w:sz w:val="24"/>
          <w:szCs w:val="24"/>
        </w:rPr>
        <w:t xml:space="preserve">2  </w:t>
      </w:r>
      <w:r>
        <w:rPr>
          <w:rFonts w:ascii="Calibri" w:cs="Calibri" w:eastAsia="Calibri" w:hAnsi="Calibri"/>
          <w:b/>
          <w:bCs/>
          <w:i w:val="false"/>
          <w:iCs w:val="false"/>
          <w:caps w:val="false"/>
          <w:color w:val="1F3D5C"/>
          <w:sz w:val="24"/>
          <w:szCs w:val="24"/>
        </w:rPr>
        <w:t xml:space="preserve">terrārum … terrās</w:t>
      </w:r>
    </w:p>
    <w:p>
      <w:pPr>
        <w:spacing w:after="200" w:before="0"/>
      </w:pPr>
      <w:r>
        <w:rPr>
          <w:rFonts w:ascii="Calibri" w:cs="Calibri" w:eastAsia="Calibri" w:hAnsi="Calibri"/>
          <w:b w:val="false"/>
          <w:bCs w:val="false"/>
          <w:i w:val="false"/>
          <w:iCs w:val="false"/>
          <w:caps w:val="false"/>
          <w:sz w:val="22"/>
          <w:szCs w:val="22"/>
        </w:rPr>
        <w:t xml:space="preserve">A und B machen den Zusammenhang sichtbar („Länder … Länder“, „Welt … Welt“), C nicht. Gracchus stellt beide Wörter mit Absicht dicht nebeneinander: Dieselbe Erde, die den Bürgern angeblich gehört, ist die Erde, auf der sie heimatlos umherziehen. Der Titel und die Wirklichkeit prallen in einem einzigen Wort aufeinander. Eine Übersetzung, die zweimal ein anderes Wort wählt, nimmt der Rede genau ihren stärksten Satz.</w:t>
      </w:r>
    </w:p>
    <w:p>
      <w:pPr>
        <w:spacing w:after="100" w:before="200"/>
      </w:pPr>
      <w:r>
        <w:rPr>
          <w:rFonts w:ascii="Calibri" w:cs="Calibri" w:eastAsia="Calibri" w:hAnsi="Calibri"/>
          <w:b/>
          <w:bCs/>
          <w:i w:val="false"/>
          <w:iCs w:val="false"/>
          <w:caps w:val="false"/>
          <w:color w:val="2E74B5"/>
          <w:sz w:val="24"/>
          <w:szCs w:val="24"/>
        </w:rPr>
        <w:t xml:space="preserve">3  </w:t>
      </w:r>
      <w:r>
        <w:rPr>
          <w:rFonts w:ascii="Calibri" w:cs="Calibri" w:eastAsia="Calibri" w:hAnsi="Calibri"/>
          <w:b/>
          <w:bCs/>
          <w:i w:val="false"/>
          <w:iCs w:val="false"/>
          <w:caps w:val="false"/>
          <w:color w:val="1F3D5C"/>
          <w:sz w:val="24"/>
          <w:szCs w:val="24"/>
        </w:rPr>
        <w:t xml:space="preserve">Eine mögliche eigene Fassung</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100" w:before="0"/>
            </w:pPr>
            <w:r>
              <w:rPr>
                <w:rFonts w:ascii="Calibri" w:cs="Calibri" w:eastAsia="Calibri" w:hAnsi="Calibri"/>
                <w:b w:val="false"/>
                <w:bCs w:val="false"/>
                <w:i w:val="false"/>
                <w:iCs w:val="false"/>
                <w:caps w:val="false"/>
                <w:sz w:val="22"/>
                <w:szCs w:val="22"/>
              </w:rPr>
              <w:t xml:space="preserve">„Darf man euch überhaupt Sieger nennen? Ihr lasst zu, dass man euch aus euren Wohnsitzen vertreibt. Herren der Welt werdet ihr genannt – und jetzt wird euch Heimat und Haus besetzt, und ihr irrt durch die Welt.“</w:t>
            </w:r>
          </w:p>
          <w:p>
            <w:pPr>
              <w:spacing w:after="0" w:before="0"/>
            </w:pPr>
            <w:r>
              <w:rPr>
                <w:rFonts w:ascii="Calibri" w:cs="Calibri" w:eastAsia="Calibri" w:hAnsi="Calibri"/>
                <w:b w:val="false"/>
                <w:bCs w:val="false"/>
                <w:i/>
                <w:iCs/>
                <w:caps w:val="false"/>
                <w:color w:val="808080"/>
                <w:sz w:val="20"/>
                <w:szCs w:val="20"/>
              </w:rPr>
              <w:t xml:space="preserve">Andere gute Lösungen sind möglich. Entscheidend ist: appellāminī bleibt passiv oder wird mit man wiedergegeben (nicht aktiv „ihr nennt euch“), occupantur bleibt passiv, und beide terra-Stellen bekommen dasselbe deutsche Wort.</w:t>
            </w:r>
          </w:p>
        </w:tc>
      </w:tr>
    </w:tbl>
    <w:sectPr>
      <w:footerReference w:type="default" r:id="rId7"/>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09 · Erwartungshorizont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2026-08-30T22:09:27.399Z</dcterms:created>
  <dcterms:modified xsi:type="dcterms:W3CDTF">2026-08-30T22:09:27.399Z</dcterms:modified>
</cp:coreProperties>
</file>

<file path=docProps/custom.xml><?xml version="1.0" encoding="utf-8"?>
<Properties xmlns="http://schemas.openxmlformats.org/officeDocument/2006/custom-properties" xmlns:vt="http://schemas.openxmlformats.org/officeDocument/2006/docPropsVTypes"/>
</file>