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10 · Lösung</w:t>
      </w:r>
    </w:p>
    <w:p>
      <w:pPr>
        <w:spacing w:after="60" w:before="0"/>
      </w:pPr>
      <w:r>
        <w:rPr>
          <w:rFonts w:ascii="Calibri" w:cs="Calibri" w:eastAsia="Calibri" w:hAnsi="Calibri"/>
          <w:b/>
          <w:bCs/>
          <w:i w:val="false"/>
          <w:iCs w:val="false"/>
          <w:caps w:val="false"/>
          <w:color w:val="1F3D5C"/>
          <w:sz w:val="33"/>
          <w:szCs w:val="33"/>
        </w:rPr>
        <w:t xml:space="preserve">Lösungen zu AB 10a, 10b und 10c</w:t>
      </w:r>
    </w:p>
    <w:p>
      <w:pPr>
        <w:spacing w:after="300" w:before="0"/>
      </w:pPr>
      <w:r>
        <w:rPr>
          <w:rFonts w:ascii="Calibri" w:cs="Calibri" w:eastAsia="Calibri" w:hAnsi="Calibri"/>
          <w:b w:val="false"/>
          <w:bCs w:val="false"/>
          <w:i w:val="false"/>
          <w:iCs w:val="false"/>
          <w:caps w:val="false"/>
          <w:color w:val="2E74B5"/>
          <w:sz w:val="22"/>
          <w:szCs w:val="22"/>
        </w:rPr>
        <w:t xml:space="preserve">Zeilenangaben nach dem Schülerbuch S. 109</w:t>
      </w:r>
    </w:p>
    <w:p>
      <w:pPr>
        <w:spacing w:after="120" w:before="0"/>
      </w:pPr>
      <w:r>
        <w:rPr>
          <w:rFonts w:ascii="Calibri" w:cs="Calibri" w:eastAsia="Calibri" w:hAnsi="Calibri"/>
          <w:b/>
          <w:bCs/>
          <w:i w:val="false"/>
          <w:iCs w:val="false"/>
          <w:caps w:val="false"/>
          <w:color w:val="2E74B5"/>
          <w:sz w:val="26"/>
          <w:szCs w:val="26"/>
        </w:rPr>
        <w:t xml:space="preserve">AB 10a – Rednerprofil</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3000"/>
        <w:gridCol w:w="4700"/>
        <w:gridCol w:w="2006"/>
      </w:tblGrid>
      <w:tr>
        <w:trPr>
          <w:tblHeader/>
        </w:trPr>
        <w:tc>
          <w:tcPr>
            <w:tcW w:type="dxa" w:w="30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Frage</w:t>
            </w:r>
          </w:p>
        </w:tc>
        <w:tc>
          <w:tcPr>
            <w:tcW w:type="dxa" w:w="47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Antwort</w:t>
            </w:r>
          </w:p>
        </w:tc>
        <w:tc>
          <w:tcPr>
            <w:tcW w:type="dxa" w:w="20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Beleg</w:t>
            </w:r>
          </w:p>
        </w:tc>
      </w:tr>
      <w:tr>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Wo steht er?</w:t>
            </w:r>
          </w:p>
        </w:tc>
        <w:tc>
          <w:tcPr>
            <w:tcW w:type="dxa" w:w="4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Auf der Rednerbühne (rōstra) auf dem Forum.</w:t>
            </w:r>
          </w:p>
        </w:tc>
        <w:tc>
          <w:tcPr>
            <w:tcW w:type="dxa" w:w="2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Z. 1</w:t>
            </w:r>
          </w:p>
        </w:tc>
      </w:tr>
      <w:tr>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Wen redet er an?</w:t>
            </w:r>
          </w:p>
        </w:tc>
        <w:tc>
          <w:tcPr>
            <w:tcW w:type="dxa" w:w="4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Die Quiriten – die römischen Bürger.</w:t>
            </w:r>
          </w:p>
        </w:tc>
        <w:tc>
          <w:tcPr>
            <w:tcW w:type="dxa" w:w="2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Z. 1, 11, 18</w:t>
            </w:r>
          </w:p>
        </w:tc>
      </w:tr>
      <w:tr>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Vorwurf an die Adligen</w:t>
            </w:r>
          </w:p>
        </w:tc>
        <w:tc>
          <w:tcPr>
            <w:tcW w:type="dxa" w:w="4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Sie haben die Bürger von ihren Äckern vertrieben und werden nicht bestraft; sie haben nicht für Roms Ruhm gesiegt, sondern für ihre eigene Genusssucht und Habgier.</w:t>
            </w:r>
          </w:p>
        </w:tc>
        <w:tc>
          <w:tcPr>
            <w:tcW w:type="dxa" w:w="2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Z. 2–3, 16</w:t>
            </w:r>
          </w:p>
        </w:tc>
      </w:tr>
      <w:tr>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Reaktion der Gegner</w:t>
            </w:r>
          </w:p>
        </w:tc>
        <w:tc>
          <w:tcPr>
            <w:tcW w:type="dxa" w:w="4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Ein Adliger beschimpft ihn als Schmeichler; die Menge schreit, Steine werden geworfen.</w:t>
            </w:r>
          </w:p>
        </w:tc>
        <w:tc>
          <w:tcPr>
            <w:tcW w:type="dxa" w:w="2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Z. 6–8</w:t>
            </w:r>
          </w:p>
        </w:tc>
      </w:tr>
      <w:tr>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Was verspricht er?</w:t>
            </w:r>
          </w:p>
        </w:tc>
        <w:tc>
          <w:tcPr>
            <w:tcW w:type="dxa" w:w="4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Er wird heute ein neues Gesetz beantragen; die Äcker werden zurückgegeben, alles wird sich ändern.</w:t>
            </w:r>
          </w:p>
        </w:tc>
        <w:tc>
          <w:tcPr>
            <w:tcW w:type="dxa" w:w="2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Z. 17–20</w:t>
            </w:r>
          </w:p>
        </w:tc>
      </w:tr>
      <w:tr>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Welches Amt?</w:t>
            </w:r>
          </w:p>
        </w:tc>
        <w:tc>
          <w:tcPr>
            <w:tcW w:type="dxa" w:w="4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Volkstribun (133 v. Chr.), Popular.</w:t>
            </w:r>
          </w:p>
        </w:tc>
        <w:tc>
          <w:tcPr>
            <w:tcW w:type="dxa" w:w="2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 110</w:t>
            </w:r>
          </w:p>
        </w:tc>
      </w:tr>
      <w:tr>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Wie ging es aus?</w:t>
            </w:r>
          </w:p>
        </w:tc>
        <w:tc>
          <w:tcPr>
            <w:tcW w:type="dxa" w:w="4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Er fand bei Straßenkämpfen den Tod; sein Bruder Gaius rund zehn Jahre später ebenso.</w:t>
            </w:r>
          </w:p>
        </w:tc>
        <w:tc>
          <w:tcPr>
            <w:tcW w:type="dxa" w:w="2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 110</w:t>
            </w:r>
          </w:p>
        </w:tc>
      </w:tr>
    </w:tbl>
    <w:p>
      <w:pPr>
        <w:spacing w:after="200" w:before="0"/>
      </w:pPr>
      <w:r>
        <w:rPr>
          <w:rFonts w:ascii="Calibri" w:cs="Calibri" w:eastAsia="Calibri" w:hAnsi="Calibri"/>
          <w:b w:val="false"/>
          <w:bCs w:val="false"/>
          <w:i w:val="false"/>
          <w:iCs w:val="false"/>
          <w:caps w:val="false"/>
          <w:sz w:val="22"/>
          <w:szCs w:val="22"/>
        </w:rPr>
        <w:t xml:space="preserve"/>
      </w:r>
    </w:p>
    <w:p>
      <w:pPr>
        <w:spacing w:after="160" w:before="0"/>
      </w:pPr>
      <w:r>
        <w:rPr>
          <w:rFonts w:ascii="Calibri" w:cs="Calibri" w:eastAsia="Calibri" w:hAnsi="Calibri"/>
          <w:b w:val="false"/>
          <w:bCs w:val="false"/>
          <w:i w:val="false"/>
          <w:iCs w:val="false"/>
          <w:caps w:val="false"/>
          <w:sz w:val="22"/>
          <w:szCs w:val="22"/>
        </w:rPr>
        <w:t xml:space="preserve">Adūlātor oder nicht? – Für „Schmeichler“ spricht: Er sagt dem Volk genau das, was es hören will, und verspricht sehr viel auf einmal (Z. 19–20). Für „ernst gemeint“ spricht: Er stellt sich offen gegen die Adligen und riskiert dabei einiges – es fliegen Steine (Z. 8) –, und die Sachinfo bestätigt, dass die Not der Kleinbauern real war. Beide Seiten sind vertretbar; entscheidend ist die Belegführung.</w:t>
      </w:r>
    </w:p>
    <w:p>
      <w:pPr>
        <w:spacing w:after="0" w:before="0"/>
      </w:pPr>
      <w:r>
        <w:rPr>
          <w:rFonts w:ascii="Calibri" w:cs="Calibri" w:eastAsia="Calibri" w:hAnsi="Calibri"/>
          <w:b w:val="false"/>
          <w:bCs w:val="false"/>
          <w:i w:val="false"/>
          <w:iCs w:val="false"/>
          <w:caps w:val="false"/>
          <w:sz w:val="22"/>
          <w:szCs w:val="22"/>
        </w:rPr>
        <w:t xml:space="preserve">Rhetorische Mittel: Anrede – „Quirītēs“ (Z. 1, 11, 18). Rhetorische Frage – „Itane vērō?“ (Z. 12), „Licetne vōs victōrēs appellārī?“ (Z. 13), „Quamdiū … opprimimur?“ (Z. 17). Wiederholung – „Nihil agitur“ zweimal (Z. 3 und 4), „Accipite hanc lēgem“ zweimal (Z. 18 und 19).</w:t>
      </w:r>
    </w:p>
    <w:p>
      <w:r>
        <w:br w:type="page"/>
      </w:r>
    </w:p>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10 · Lösung</w:t>
      </w:r>
    </w:p>
    <w:p>
      <w:pPr>
        <w:spacing w:after="120" w:before="0"/>
      </w:pPr>
      <w:r>
        <w:rPr>
          <w:rFonts w:ascii="Calibri" w:cs="Calibri" w:eastAsia="Calibri" w:hAnsi="Calibri"/>
          <w:b/>
          <w:bCs/>
          <w:i w:val="false"/>
          <w:iCs w:val="false"/>
          <w:caps w:val="false"/>
          <w:color w:val="2E74B5"/>
          <w:sz w:val="26"/>
          <w:szCs w:val="26"/>
        </w:rPr>
        <w:t xml:space="preserve">AB 10b – Wahr oder falsch</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500"/>
        <w:gridCol w:w="1600"/>
        <w:gridCol w:w="900"/>
        <w:gridCol w:w="6706"/>
      </w:tblGrid>
      <w:tr>
        <w:trPr>
          <w:tblHeader/>
        </w:trPr>
        <w:tc>
          <w:tcPr>
            <w:tcW w:type="dxa" w:w="5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
            </w:r>
          </w:p>
        </w:tc>
        <w:tc>
          <w:tcPr>
            <w:tcW w:type="dxa" w:w="16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wahr / falsch</w:t>
            </w:r>
          </w:p>
        </w:tc>
        <w:tc>
          <w:tcPr>
            <w:tcW w:type="dxa" w:w="9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Zeile</w:t>
            </w:r>
          </w:p>
        </w:tc>
        <w:tc>
          <w:tcPr>
            <w:tcW w:type="dxa" w:w="67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Erläuterung</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wahr</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2</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2</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falsch</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3</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Tamen nōn pūniuntur – sie werden gerade nicht bestraft.</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3</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wahr</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4–5</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uxōrēs et līberī … famē urgentur.</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4</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falsch</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6</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Er wird als adūlātor beschimpft, nicht gelobt.</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5</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wahr</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7–8</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lapidēs … iaciēbantur – Passiv: es steht nicht da, wer wirft.</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6</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wahr</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10</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Tacē aut iactāberis ē forō!</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7</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wahr</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11–12</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8</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falsch</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13</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Licetne vōs victōrēs appellārī? ist eine Frage, und zwar eine, die Gracchus verneint wissen will.</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9</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wahr</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13</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Sinitis vōs … pellī – „ihr lasst zu, dass ihr vertrieben werdet“.</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10</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falsch</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15–16</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Genau das bestreitet er: nōn prō glōriā Rōmānōrum … sed prō lūxuriā et avāritiā paucōrum.</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11</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wahr</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17–18</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Hodiē ā mē lēx nova rogābitur.</w:t>
            </w:r>
          </w:p>
        </w:tc>
      </w:tr>
      <w:tr>
        <w:tc>
          <w:tcPr>
            <w:tcW w:type="dxa" w:w="5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12</w:t>
            </w:r>
          </w:p>
        </w:tc>
        <w:tc>
          <w:tcPr>
            <w:tcW w:type="dxa" w:w="16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falsch</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19–20</w:t>
            </w:r>
          </w:p>
        </w:tc>
        <w:tc>
          <w:tcPr>
            <w:tcW w:type="dxa" w:w="6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reddentur und mūtābuntur sind Passivformen ohne Handelnden – wer zurückgibt, steht nicht da.</w:t>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0" w:before="0"/>
      </w:pPr>
      <w:r>
        <w:rPr>
          <w:rFonts w:ascii="Calibri" w:cs="Calibri" w:eastAsia="Calibri" w:hAnsi="Calibri"/>
          <w:b w:val="false"/>
          <w:bCs w:val="false"/>
          <w:i w:val="false"/>
          <w:iCs w:val="false"/>
          <w:caps w:val="false"/>
          <w:sz w:val="22"/>
          <w:szCs w:val="22"/>
        </w:rPr>
        <w:t xml:space="preserve">Die beiden kniffligen: Bei Nr. 8 ist die Satzform entscheidend – es ist keine Aussage, sondern eine rhetorische Frage. Bei Nr. 12 ist das Genus verbi entscheidend: Im Passiv ohne ā/ab bleibt offen, wer handelt. Gracchus verspricht ein Ergebnis, ohne einen Verantwortlichen zu nennen.</w:t>
      </w:r>
    </w:p>
    <w:p>
      <w:r>
        <w:br w:type="page"/>
      </w:r>
    </w:p>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10 · Lösung</w:t>
      </w:r>
    </w:p>
    <w:p>
      <w:pPr>
        <w:spacing w:after="120" w:before="0"/>
      </w:pPr>
      <w:r>
        <w:rPr>
          <w:rFonts w:ascii="Calibri" w:cs="Calibri" w:eastAsia="Calibri" w:hAnsi="Calibri"/>
          <w:b/>
          <w:bCs/>
          <w:i w:val="false"/>
          <w:iCs w:val="false"/>
          <w:caps w:val="false"/>
          <w:color w:val="2E74B5"/>
          <w:sz w:val="26"/>
          <w:szCs w:val="26"/>
        </w:rPr>
        <w:t xml:space="preserve">AB 10c – Titel gegen Wirklichkeit</w:t>
      </w:r>
    </w:p>
    <w:p>
      <w:pPr>
        <w:spacing w:after="80" w:before="0"/>
      </w:pPr>
      <w:r>
        <w:rPr>
          <w:rFonts w:ascii="Calibri" w:cs="Calibri" w:eastAsia="Calibri" w:hAnsi="Calibri"/>
          <w:b/>
          <w:bCs/>
          <w:i w:val="false"/>
          <w:iCs w:val="false"/>
          <w:caps w:val="false"/>
          <w:sz w:val="22"/>
          <w:szCs w:val="22"/>
        </w:rPr>
        <w:t xml:space="preserve">1 · Die Titel</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700"/>
        <w:gridCol w:w="3300"/>
        <w:gridCol w:w="3000"/>
        <w:gridCol w:w="2706"/>
      </w:tblGrid>
      <w:tr>
        <w:trPr>
          <w:tblHeader/>
        </w:trPr>
        <w:tc>
          <w:tcPr>
            <w:tcW w:type="dxa" w:w="7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Z.</w:t>
            </w:r>
          </w:p>
        </w:tc>
        <w:tc>
          <w:tcPr>
            <w:tcW w:type="dxa" w:w="33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lateinisch</w:t>
            </w:r>
          </w:p>
        </w:tc>
        <w:tc>
          <w:tcPr>
            <w:tcW w:type="dxa" w:w="30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deutsch</w:t>
            </w:r>
          </w:p>
        </w:tc>
        <w:tc>
          <w:tcPr>
            <w:tcW w:type="dxa" w:w="27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Form</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9</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adūlātor appellor</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ich werde Schmeichler genannt</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 Sg. Präsens Passiv</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13</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victōrēs appellārī</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Sieger genannt zu werden</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Infinitiv Passiv</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14</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appellāminī dominī terrārum</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ihr werdet Herren der Welt genannt</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2. Pl. Präsens Passiv</w:t>
            </w:r>
          </w:p>
        </w:tc>
      </w:tr>
    </w:tbl>
    <w:p>
      <w:pPr>
        <w:spacing w:after="160" w:before="0"/>
      </w:pPr>
      <w:r>
        <w:rPr>
          <w:rFonts w:ascii="Calibri" w:cs="Calibri" w:eastAsia="Calibri" w:hAnsi="Calibri"/>
          <w:b w:val="false"/>
          <w:bCs w:val="false"/>
          <w:i w:val="false"/>
          <w:iCs w:val="false"/>
          <w:caps w:val="false"/>
          <w:sz w:val="22"/>
          <w:szCs w:val="22"/>
        </w:rPr>
        <w:t xml:space="preserve">Alle drei stehen im Passiv – und das ist kein Zufall: Einen Titel gibt man sich nicht selbst, man bekommt ihn verliehen. Deshalb ist das Passiv die Form, in der von Titeln geredet wird.</w:t>
      </w:r>
    </w:p>
    <w:p>
      <w:pPr>
        <w:spacing w:after="80" w:before="0"/>
      </w:pPr>
      <w:r>
        <w:rPr>
          <w:rFonts w:ascii="Calibri" w:cs="Calibri" w:eastAsia="Calibri" w:hAnsi="Calibri"/>
          <w:b/>
          <w:bCs/>
          <w:i w:val="false"/>
          <w:iCs w:val="false"/>
          <w:caps w:val="false"/>
          <w:sz w:val="22"/>
          <w:szCs w:val="22"/>
        </w:rPr>
        <w:t xml:space="preserve">2 · Die Wirklichkeit</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700"/>
        <w:gridCol w:w="3300"/>
        <w:gridCol w:w="3000"/>
        <w:gridCol w:w="2706"/>
      </w:tblGrid>
      <w:tr>
        <w:trPr>
          <w:tblHeader/>
        </w:trPr>
        <w:tc>
          <w:tcPr>
            <w:tcW w:type="dxa" w:w="7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Z.</w:t>
            </w:r>
          </w:p>
        </w:tc>
        <w:tc>
          <w:tcPr>
            <w:tcW w:type="dxa" w:w="33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lateinisch</w:t>
            </w:r>
          </w:p>
        </w:tc>
        <w:tc>
          <w:tcPr>
            <w:tcW w:type="dxa" w:w="30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deutsch</w:t>
            </w:r>
          </w:p>
        </w:tc>
        <w:tc>
          <w:tcPr>
            <w:tcW w:type="dxa" w:w="27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Form</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3</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nōn pūniuntur</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sie werden nicht bestraft</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3. Pl. Präsens Passiv</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5</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famē urgentur</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sie werden von Hunger bedrängt</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3. Pl. Präsens Passiv</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13</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ē sēdibus pellī</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aus den Wohnsitzen vertrieben zu werden</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Infinitiv Passiv</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15</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patria sēdēsque occupantur</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Heimat und Wohnsitze werden besetzt</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3. Pl. Präsens Passiv</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17</w:t>
            </w:r>
          </w:p>
        </w:tc>
        <w:tc>
          <w:tcPr>
            <w:tcW w:type="dxa" w:w="33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opprimimur</w:t>
            </w:r>
          </w:p>
        </w:tc>
        <w:tc>
          <w:tcPr>
            <w:tcW w:type="dxa" w:w="30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wir werden unterdrückt</w:t>
            </w:r>
          </w:p>
        </w:tc>
        <w:tc>
          <w:tcPr>
            <w:tcW w:type="dxa" w:w="27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 Pl. Präsens Passiv</w:t>
            </w:r>
          </w:p>
        </w:tc>
      </w:tr>
    </w:tbl>
    <w:p>
      <w:pPr>
        <w:spacing w:after="80" w:before="0"/>
      </w:pPr>
      <w:r>
        <w:rPr>
          <w:rFonts w:ascii="Calibri" w:cs="Calibri" w:eastAsia="Calibri" w:hAnsi="Calibri"/>
          <w:b/>
          <w:bCs/>
          <w:i w:val="false"/>
          <w:iCs w:val="false"/>
          <w:caps w:val="false"/>
          <w:sz w:val="22"/>
          <w:szCs w:val="22"/>
        </w:rPr>
        <w:t xml:space="preserve">3 · Was sie selbst tun</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700"/>
        <w:gridCol w:w="4000"/>
        <w:gridCol w:w="5006"/>
      </w:tblGrid>
      <w:tr>
        <w:trPr>
          <w:tblHeader/>
        </w:trPr>
        <w:tc>
          <w:tcPr>
            <w:tcW w:type="dxa" w:w="7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Z.</w:t>
            </w:r>
          </w:p>
        </w:tc>
        <w:tc>
          <w:tcPr>
            <w:tcW w:type="dxa" w:w="40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lateinisch</w:t>
            </w:r>
          </w:p>
        </w:tc>
        <w:tc>
          <w:tcPr>
            <w:tcW w:type="dxa" w:w="500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deutsch</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4</w:t>
            </w:r>
          </w:p>
        </w:tc>
        <w:tc>
          <w:tcPr>
            <w:tcW w:type="dxa" w:w="40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famē labōrātis</w:t>
            </w:r>
          </w:p>
        </w:tc>
        <w:tc>
          <w:tcPr>
            <w:tcW w:type="dxa" w:w="5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ihr leidet an Hunger</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13</w:t>
            </w:r>
          </w:p>
        </w:tc>
        <w:tc>
          <w:tcPr>
            <w:tcW w:type="dxa" w:w="40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sinitis</w:t>
            </w:r>
          </w:p>
        </w:tc>
        <w:tc>
          <w:tcPr>
            <w:tcW w:type="dxa" w:w="5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ihr lasst es zu</w:t>
            </w:r>
          </w:p>
        </w:tc>
      </w:tr>
      <w:tr>
        <w:tc>
          <w:tcPr>
            <w:tcW w:type="dxa" w:w="7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15</w:t>
            </w:r>
          </w:p>
        </w:tc>
        <w:tc>
          <w:tcPr>
            <w:tcW w:type="dxa" w:w="4000"/>
            <w:tcMar>
              <w:top w:type="dxa" w:w="120"/>
              <w:left w:type="dxa" w:w="130"/>
              <w:bottom w:type="dxa" w:w="120"/>
              <w:right w:type="dxa" w:w="130"/>
            </w:tcMar>
          </w:tcPr>
          <w:p>
            <w:pPr>
              <w:spacing w:after="0" w:before="0"/>
            </w:pPr>
            <w:r>
              <w:rPr>
                <w:rFonts w:ascii="Cambria" w:cs="Cambria" w:eastAsia="Cambria" w:hAnsi="Cambria"/>
                <w:b w:val="false"/>
                <w:bCs w:val="false"/>
                <w:i/>
                <w:iCs/>
                <w:caps w:val="false"/>
                <w:sz w:val="20"/>
                <w:szCs w:val="20"/>
              </w:rPr>
              <w:t xml:space="preserve">errātis per terrās</w:t>
            </w:r>
          </w:p>
        </w:tc>
        <w:tc>
          <w:tcPr>
            <w:tcW w:type="dxa" w:w="500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ihr irrt durch die Welt</w:t>
            </w:r>
          </w:p>
        </w:tc>
      </w:tr>
    </w:tbl>
    <w:p>
      <w:pPr>
        <w:spacing w:after="160" w:before="0"/>
      </w:pPr>
      <w:r>
        <w:rPr>
          <w:rFonts w:ascii="Calibri" w:cs="Calibri" w:eastAsia="Calibri" w:hAnsi="Calibri"/>
          <w:b w:val="false"/>
          <w:bCs w:val="false"/>
          <w:i w:val="false"/>
          <w:iCs w:val="false"/>
          <w:caps w:val="false"/>
          <w:sz w:val="22"/>
          <w:szCs w:val="22"/>
        </w:rPr>
        <w:t xml:space="preserve">Der Vorwurf steckt in sinitis: Gracchus sagt seinen Zuhörern, dass sie ihre eigene Vertreibung geschehen lassen. Es ist die einzige Aktivform, in der sie nicht Opfer, sondern Mitverantwortliche sind – und sie steht direkt neben zwei Infinitiven Passiv.</w:t>
      </w:r>
    </w:p>
    <w:p>
      <w:pPr>
        <w:spacing w:after="80" w:before="0"/>
      </w:pPr>
      <w:r>
        <w:rPr>
          <w:rFonts w:ascii="Calibri" w:cs="Calibri" w:eastAsia="Calibri" w:hAnsi="Calibri"/>
          <w:b/>
          <w:bCs/>
          <w:i w:val="false"/>
          <w:iCs w:val="false"/>
          <w:caps w:val="false"/>
          <w:sz w:val="22"/>
          <w:szCs w:val="22"/>
        </w:rPr>
        <w:t xml:space="preserve">4 · Der eine Satz</w:t>
      </w:r>
    </w:p>
    <w:p>
      <w:pPr>
        <w:spacing w:after="100" w:before="0"/>
      </w:pPr>
      <w:r>
        <w:rPr>
          <w:rFonts w:ascii="Cambria" w:cs="Cambria" w:eastAsia="Cambria" w:hAnsi="Cambria"/>
          <w:b/>
          <w:bCs/>
          <w:i/>
          <w:iCs/>
          <w:caps w:val="false"/>
          <w:color w:val="1F3D5C"/>
          <w:sz w:val="23"/>
          <w:szCs w:val="23"/>
        </w:rPr>
        <w:t xml:space="preserve">Appellāminī dominī terrārum, nunc autem patria sēdēsque occupantur et errātis per terrās.</w:t>
      </w:r>
    </w:p>
    <w:p>
      <w:pPr>
        <w:spacing w:after="0" w:before="0"/>
      </w:pPr>
      <w:r>
        <w:rPr>
          <w:rFonts w:ascii="Calibri" w:cs="Calibri" w:eastAsia="Calibri" w:hAnsi="Calibri"/>
          <w:b w:val="false"/>
          <w:bCs w:val="false"/>
          <w:i w:val="false"/>
          <w:iCs w:val="false"/>
          <w:caps w:val="false"/>
          <w:sz w:val="22"/>
          <w:szCs w:val="22"/>
        </w:rPr>
        <w:t xml:space="preserve">Zweimal terra: einmal im Genitiv als Besitz (dominī terrārum – die Länder gehören ihnen angeblich), einmal im Akkusativ als Weg (per terrās – die Länder, durch die sie heimatlos ziehen). Der Titel steht im Passiv, das Umherirren im Aktiv. Gracchus stellt damit in einem einzigen Satz nebeneinander, was die Bürger heißen und was sie sind – und genau das ist die Antwort auf die Leitfrage.</w:t>
      </w:r>
    </w:p>
    <w:sectPr>
      <w:footerReference w:type="default" r:id="rId7"/>
      <w:pgSz w:w="11906" w:h="16838" w:orient="portrait"/>
      <w:pgMar w:top="8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AB 10a–c · Lösungsblatt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2026-08-30T22:16:46.246Z</dcterms:created>
  <dcterms:modified xsi:type="dcterms:W3CDTF">2026-08-30T22:16:46.246Z</dcterms:modified>
</cp:coreProperties>
</file>

<file path=docProps/custom.xml><?xml version="1.0" encoding="utf-8"?>
<Properties xmlns="http://schemas.openxmlformats.org/officeDocument/2006/custom-properties" xmlns:vt="http://schemas.openxmlformats.org/officeDocument/2006/docPropsVTypes"/>
</file>