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11 · Lösung</w:t>
      </w:r>
    </w:p>
    <w:p>
      <w:pPr>
        <w:spacing w:after="60" w:before="0"/>
      </w:pPr>
      <w:r>
        <w:rPr>
          <w:rFonts w:ascii="Calibri" w:cs="Calibri" w:eastAsia="Calibri" w:hAnsi="Calibri"/>
          <w:b/>
          <w:bCs/>
          <w:i w:val="false"/>
          <w:iCs w:val="false"/>
          <w:caps w:val="false"/>
          <w:color w:val="1F3D5C"/>
          <w:sz w:val="33"/>
          <w:szCs w:val="33"/>
        </w:rPr>
        <w:t xml:space="preserve">Erwartungshorizont zu AB 11</w:t>
      </w:r>
    </w:p>
    <w:p>
      <w:pPr>
        <w:spacing w:after="300" w:before="0"/>
      </w:pPr>
      <w:r>
        <w:rPr>
          <w:rFonts w:ascii="Calibri" w:cs="Calibri" w:eastAsia="Calibri" w:hAnsi="Calibri"/>
          <w:b w:val="false"/>
          <w:bCs w:val="false"/>
          <w:i w:val="false"/>
          <w:iCs w:val="false"/>
          <w:caps w:val="false"/>
          <w:color w:val="2E74B5"/>
          <w:sz w:val="22"/>
          <w:szCs w:val="22"/>
        </w:rPr>
        <w:t xml:space="preserve">Mögliche Widerlegungen – andere Belege sind möglich, wenn sie am Text stehen</w:t>
      </w:r>
    </w:p>
    <w:p>
      <w:pPr>
        <w:spacing w:after="60" w:before="0"/>
      </w:pPr>
      <w:r>
        <w:rPr>
          <w:rFonts w:ascii="Calibri" w:cs="Calibri" w:eastAsia="Calibri" w:hAnsi="Calibri"/>
          <w:b/>
          <w:bCs/>
          <w:i w:val="false"/>
          <w:iCs w:val="false"/>
          <w:caps w:val="false"/>
          <w:color w:val="2E74B5"/>
          <w:sz w:val="23"/>
          <w:szCs w:val="23"/>
        </w:rPr>
        <w:t xml:space="preserve">Behauptung 1 – „Wer so genannt wird, der ist es auch.“</w:t>
      </w:r>
    </w:p>
    <w:p>
      <w:pPr>
        <w:spacing w:after="200" w:before="0"/>
      </w:pPr>
      <w:r>
        <w:rPr>
          <w:rFonts w:ascii="Calibri" w:cs="Calibri" w:eastAsia="Calibri" w:hAnsi="Calibri"/>
          <w:b w:val="false"/>
          <w:bCs w:val="false"/>
          <w:i w:val="false"/>
          <w:iCs w:val="false"/>
          <w:caps w:val="false"/>
          <w:sz w:val="22"/>
          <w:szCs w:val="22"/>
        </w:rPr>
        <w:t xml:space="preserve">Genau das bestreitet der Text. appellāminī dominī terrārum (Z. 14) steht im Passiv: Der Titel wird ihnen gegeben, er sagt nichts darüber, wie es ihnen geht. Direkt daneben steht die Wirklichkeit: patria sēdēsque occupantur et errātis per terrās (Z. 15). Dasselbe Wort terra bezeichnet einmal ihren angeblichen Besitz und einmal den Weg, auf dem sie heimatlos umherziehen. Auch Gracchus selbst wird genannt (adūlātor appellor, Z. 9) – und bestreitet sofort, dass der Name stimmt. Ein Name ist eben kein Beweis.</w:t>
      </w:r>
    </w:p>
    <w:p>
      <w:pPr>
        <w:spacing w:after="60" w:before="0"/>
      </w:pPr>
      <w:r>
        <w:rPr>
          <w:rFonts w:ascii="Calibri" w:cs="Calibri" w:eastAsia="Calibri" w:hAnsi="Calibri"/>
          <w:b/>
          <w:bCs/>
          <w:i w:val="false"/>
          <w:iCs w:val="false"/>
          <w:caps w:val="false"/>
          <w:color w:val="2E74B5"/>
          <w:sz w:val="23"/>
          <w:szCs w:val="23"/>
        </w:rPr>
        <w:t xml:space="preserve">Behauptung 2 – „Sieger haben immer alles.“</w:t>
      </w:r>
    </w:p>
    <w:p>
      <w:pPr>
        <w:spacing w:after="200" w:before="0"/>
      </w:pPr>
      <w:r>
        <w:rPr>
          <w:rFonts w:ascii="Calibri" w:cs="Calibri" w:eastAsia="Calibri" w:hAnsi="Calibri"/>
          <w:b w:val="false"/>
          <w:bCs w:val="false"/>
          <w:i w:val="false"/>
          <w:iCs w:val="false"/>
          <w:caps w:val="false"/>
          <w:sz w:val="22"/>
          <w:szCs w:val="22"/>
        </w:rPr>
        <w:t xml:space="preserve">Der Sieg steht im Perfekt: pūgnāvistis et vīcistis (Z. 12) – er ist vorbei. Die Not steht im Präsens: famē labōrātis (Z. 4), occupantur (Z. 15), opprimimur (Z. 17). Und die Frage Licetne vōs victōrēs appellārī? (Z. 13) stellt gerade in Frage, ob man sie noch Sieger nennen darf. Die Sachinfo S. 110 erklärt, warum: Die Bauern waren als Soldaten jahrelang fort, ihre Höfe verfielen, sie mussten verkaufen.</w:t>
      </w:r>
    </w:p>
    <w:p>
      <w:pPr>
        <w:spacing w:after="60" w:before="0"/>
      </w:pPr>
      <w:r>
        <w:rPr>
          <w:rFonts w:ascii="Calibri" w:cs="Calibri" w:eastAsia="Calibri" w:hAnsi="Calibri"/>
          <w:b/>
          <w:bCs/>
          <w:i w:val="false"/>
          <w:iCs w:val="false"/>
          <w:caps w:val="false"/>
          <w:color w:val="2E74B5"/>
          <w:sz w:val="23"/>
          <w:szCs w:val="23"/>
        </w:rPr>
        <w:t xml:space="preserve">Behauptung 3 – „Es steht nicht da, wer unterdrückt, also stimmt es nicht.“</w:t>
      </w:r>
    </w:p>
    <w:p>
      <w:pPr>
        <w:spacing w:after="200" w:before="0"/>
      </w:pPr>
      <w:r>
        <w:rPr>
          <w:rFonts w:ascii="Calibri" w:cs="Calibri" w:eastAsia="Calibri" w:hAnsi="Calibri"/>
          <w:b w:val="false"/>
          <w:bCs w:val="false"/>
          <w:i w:val="false"/>
          <w:iCs w:val="false"/>
          <w:caps w:val="false"/>
          <w:sz w:val="22"/>
          <w:szCs w:val="22"/>
        </w:rPr>
        <w:t xml:space="preserve">Hier dreht Bobibu die Sache um. Dass der Handelnde fehlt, ist kein Gegenbeweis, sondern der Kern der Sache – so funktioniert das Passiv. Und an einer Stelle steht er sehr wohl: opprimimur ab hominibus scelestīs (Z. 17), „wir werden von verbrecherischen Menschen unterdrückt“. Dazu kommt Z. 2 im Aktiv, ganz ohne Zweifel: Nōbilēs enim cīvēs Rōmānōs ab agrīs pepulērunt. Gracchus nennt die Schuldigen also durchaus – er nennt sie nur nicht jedes Mal.</w:t>
      </w:r>
    </w:p>
    <w:p>
      <w:pPr>
        <w:spacing w:after="60" w:before="0"/>
      </w:pPr>
      <w:r>
        <w:rPr>
          <w:rFonts w:ascii="Calibri" w:cs="Calibri" w:eastAsia="Calibri" w:hAnsi="Calibri"/>
          <w:b/>
          <w:bCs/>
          <w:i w:val="false"/>
          <w:iCs w:val="false"/>
          <w:caps w:val="false"/>
          <w:color w:val="2E74B5"/>
          <w:sz w:val="23"/>
          <w:szCs w:val="23"/>
        </w:rPr>
        <w:t xml:space="preserve">Behauptung 4 – „Er verspricht es doch, dann ist alles gut.“</w:t>
      </w:r>
    </w:p>
    <w:p>
      <w:pPr>
        <w:spacing w:after="240" w:before="0"/>
      </w:pPr>
      <w:r>
        <w:rPr>
          <w:rFonts w:ascii="Calibri" w:cs="Calibri" w:eastAsia="Calibri" w:hAnsi="Calibri"/>
          <w:b w:val="false"/>
          <w:bCs w:val="false"/>
          <w:i w:val="false"/>
          <w:iCs w:val="false"/>
          <w:caps w:val="false"/>
          <w:sz w:val="22"/>
          <w:szCs w:val="22"/>
        </w:rPr>
        <w:t xml:space="preserve">Die Versprechen stehen alle im Futur Passiv, und in keinem einzigen wird gesagt, wer handeln soll: agrī reddentur (Z. 19), cūncta mūtābuntur (Z. 20). Nur beim Antrag selbst nennt Gracchus einen Handelnden – sich selbst: ā mē lēx nova rogābitur (Z. 17–18). Er verspricht also ein Ergebnis, für das niemand einsteht. Die Sachinfo S. 110 zeigt, wie es ausging: Tiberius fand bei Straßenkämpfen den Tod, sein Bruder ein Jahrzehnt später ebenso.</w:t>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80" w:before="0"/>
            </w:pPr>
            <w:r>
              <w:rPr>
                <w:rFonts w:ascii="Calibri" w:cs="Calibri" w:eastAsia="Calibri" w:hAnsi="Calibri"/>
                <w:b/>
                <w:bCs/>
                <w:i w:val="false"/>
                <w:iCs w:val="false"/>
                <w:caps w:val="false"/>
                <w:color w:val="1F3D5C"/>
                <w:sz w:val="22"/>
                <w:szCs w:val="22"/>
              </w:rPr>
              <w:t xml:space="preserve">Wo Bobibu fast recht hat</w:t>
            </w:r>
          </w:p>
          <w:p>
            <w:pPr>
              <w:spacing w:after="0" w:before="0"/>
            </w:pPr>
            <w:r>
              <w:rPr>
                <w:rFonts w:ascii="Calibri" w:cs="Calibri" w:eastAsia="Calibri" w:hAnsi="Calibri"/>
                <w:b w:val="false"/>
                <w:bCs w:val="false"/>
                <w:i w:val="false"/>
                <w:iCs w:val="false"/>
                <w:caps w:val="false"/>
                <w:sz w:val="21"/>
                <w:szCs w:val="21"/>
              </w:rPr>
              <w:t xml:space="preserve">Bei Behauptung 3. Bobibu hat richtig bemerkt, dass der Handelnde meistens fehlt – das ist eine gute Beobachtung, und sie stimmt: Von sechzehn Passivformen nennen nur drei einen Handelnden. Falsch ist nur der Schluss daraus. Aus einer Lücke folgt nicht, dass nichts geschieht; sie zeigt bloß, dass jemand entschieden hat, es nicht zu sagen. Genau darüber lohnt sich das Klassengespräch: Wann ist ein Weglassen harmlos, und wann ist es eine Aussage?</w:t>
            </w:r>
          </w:p>
        </w:tc>
      </w:tr>
    </w:tbl>
    <w:p>
      <w:pPr>
        <w:spacing w:after="200" w:before="0"/>
      </w:pPr>
      <w:r>
        <w:rPr>
          <w:rFonts w:ascii="Calibri" w:cs="Calibri" w:eastAsia="Calibri" w:hAnsi="Calibri"/>
          <w:b w:val="false"/>
          <w:bCs w:val="false"/>
          <w:i w:val="false"/>
          <w:iCs w:val="false"/>
          <w:caps w:val="false"/>
          <w:sz w:val="22"/>
          <w:szCs w:val="22"/>
        </w:rPr>
        <w:t xml:space="preserve"/>
      </w:r>
    </w:p>
    <w:p>
      <w:pPr>
        <w:spacing w:after="0" w:before="0"/>
      </w:pPr>
      <w:r>
        <w:rPr>
          <w:rFonts w:ascii="Calibri" w:cs="Calibri" w:eastAsia="Calibri" w:hAnsi="Calibri"/>
          <w:b w:val="false"/>
          <w:bCs w:val="false"/>
          <w:i w:val="false"/>
          <w:iCs w:val="false"/>
          <w:caps w:val="false"/>
          <w:sz w:val="22"/>
          <w:szCs w:val="22"/>
        </w:rPr>
        <w:t xml:space="preserve">Zum Urteil: Alle drei Kreuze sind vertretbar. Am stärksten ist in der Regel „beides zugleich“ – denn genau das ist der Widerspruch, den Gracchus in Zeile 14/15 in einen einzigen Satz packt. Wer so entscheidet, sollte allerdings sagen können, in welcher Hinsicht sie Herren sind (dem Titel, der Vergangenheit, dem Selbstbild nach) und in welcher nicht (Besitz, Wohnsitz, Gehör, Recht).</w:t>
      </w:r>
    </w:p>
    <w:sectPr>
      <w:footerReference w:type="default" r:id="rId7"/>
      <w:pgSz w:w="11906" w:h="16838" w:orient="portrait"/>
      <w:pgMar w:top="80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aps w:val="false"/>
        <w:color w:val="808080"/>
        <w:sz w:val="16"/>
        <w:szCs w:val="16"/>
      </w:rPr>
      <w:t xml:space="preserve">Lektion 15 · Bauern und Adlige  |  AB 11 · Erwartungshorizont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2026-08-30T22:12:47.594Z</dcterms:created>
  <dcterms:modified xsi:type="dcterms:W3CDTF">2026-08-30T22:12:47.594Z</dcterms:modified>
</cp:coreProperties>
</file>

<file path=docProps/custom.xml><?xml version="1.0" encoding="utf-8"?>
<Properties xmlns="http://schemas.openxmlformats.org/officeDocument/2006/custom-properties" xmlns:vt="http://schemas.openxmlformats.org/officeDocument/2006/docPropsVTypes"/>
</file>