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4B5" w:sz="8"/>
        </w:pBdr>
        <w:spacing w:after="20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0"/>
          <w:szCs w:val="20"/>
        </w:rPr>
        <w:t xml:space="preserve">Lektion 15 · Bauern und Adlige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808080"/>
          <w:sz w:val="20"/>
          <w:szCs w:val="20"/>
        </w:rPr>
        <w:t xml:space="preserve">					AB 13 · Freiarbeit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33"/>
          <w:szCs w:val="33"/>
        </w:rPr>
        <w:t xml:space="preserve">Freiarbeit: Das Passiv</w:t>
      </w:r>
    </w:p>
    <w:p>
      <w:pPr>
        <w:spacing w:after="3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E74B5"/>
          <w:sz w:val="22"/>
          <w:szCs w:val="22"/>
        </w:rPr>
        <w:t xml:space="preserve">Laufzettel · Pflichtbereich · Wahlbereich (3 von 6) · Für Schnelle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999999" w:sz="4"/>
          <w:insideV w:val="none"/>
        </w:tblBorders>
      </w:tblPr>
      <w:tblGrid>
        <w:gridCol w:w="100"/>
      </w:tblGrid>
      <w:tr>
        <w:tc>
          <w:tcPr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20"/>
                <w:szCs w:val="20"/>
              </w:rPr>
              <w:t xml:space="preserve">Name:</w:t>
            </w:r>
          </w:p>
        </w:tc>
      </w:tr>
      <w:tr>
        <w:tc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p>
      <w:pPr>
        <w:spacing w:after="2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>Du arbeitest hier mit dem Schülerbuch (SB) und dem Arbeitsheft (AH). Der Pflichtbereich ist für alle. Aus dem Wahlbereich suchst du dir drei Aufgaben aus – such dir die, bei denen du noch unsicher bist, nicht die schnellsten.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0"/>
          <w:szCs w:val="20"/>
        </w:rPr>
        <w:t xml:space="preserve">PFLICHTBEREICH</w:t>
      </w:r>
    </w:p>
    <w:tbl>
      <w:tblPr>
        <w:tblW w:type="pct" w:w="100%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AFC8DE" w:sz="2"/>
          <w:insideV w:val="single" w:color="AFC8DE" w:sz="2"/>
        </w:tblBorders>
      </w:tblPr>
      <w:tblGrid>
        <w:gridCol w:w="1500"/>
        <w:gridCol w:w="5106"/>
        <w:gridCol w:w="1000"/>
        <w:gridCol w:w="1100"/>
        <w:gridCol w:w="1000"/>
      </w:tblGrid>
      <w:tr>
        <w:trPr>
          <w:tblHeader/>
        </w:trPr>
        <w:tc>
          <w:tcPr>
            <w:tcW w:type="dxa" w:w="15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Quelle</w:t>
            </w:r>
          </w:p>
        </w:tc>
        <w:tc>
          <w:tcPr>
            <w:tcW w:type="dxa" w:w="5106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Aufgabe</w:t>
            </w:r>
          </w:p>
        </w:tc>
        <w:tc>
          <w:tcPr>
            <w:tcW w:type="dxa" w:w="10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Erledigt</w:t>
            </w:r>
          </w:p>
        </w:tc>
        <w:tc>
          <w:tcPr>
            <w:tcW w:type="dxa" w:w="11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Mit Partner verglichen</w:t>
            </w:r>
          </w:p>
        </w:tc>
        <w:tc>
          <w:tcPr>
            <w:tcW w:type="dxa" w:w="10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Dem Grammaticus gezeigt</w:t>
            </w:r>
          </w:p>
        </w:tc>
      </w:tr>
      <w:tr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30"/>
              <w:left w:type="dxa" w:w="130"/>
              <w:bottom w:type="dxa" w:w="1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4B5"/>
                <w:sz w:val="19"/>
                <w:szCs w:val="19"/>
              </w:rPr>
              <w:t xml:space="preserve">SB S. 111 · 1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1"/>
                <w:szCs w:val="21"/>
              </w:rPr>
              <w:t xml:space="preserve">Passiv gesucht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8"/>
                <w:szCs w:val="18"/>
              </w:rPr>
              <w:t xml:space="preserve">Alle Passivformen aus einer Reihe heraussuchen – die Signale erkennen.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☐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☐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☐</w:t>
            </w:r>
          </w:p>
        </w:tc>
      </w:tr>
      <w:tr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30"/>
              <w:left w:type="dxa" w:w="130"/>
              <w:bottom w:type="dxa" w:w="1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4B5"/>
                <w:sz w:val="19"/>
                <w:szCs w:val="19"/>
              </w:rPr>
              <w:t xml:space="preserve">SB S. 111 · 3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1"/>
                <w:szCs w:val="21"/>
              </w:rPr>
              <w:t xml:space="preserve">Aktiv oder Passiv?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8"/>
                <w:szCs w:val="18"/>
              </w:rPr>
              <w:t xml:space="preserve">Formen bestimmen in der Reihenfolge Person – Numerus – Tempus – Genus verbi, dann übersetzen.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☐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☐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☐</w:t>
            </w:r>
          </w:p>
        </w:tc>
      </w:tr>
      <w:tr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30"/>
              <w:left w:type="dxa" w:w="130"/>
              <w:bottom w:type="dxa" w:w="1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4B5"/>
                <w:sz w:val="19"/>
                <w:szCs w:val="19"/>
              </w:rPr>
              <w:t xml:space="preserve">AH S. 25 · 1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1"/>
                <w:szCs w:val="21"/>
              </w:rPr>
              <w:t xml:space="preserve">Auf das Ende kommt es an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8"/>
                <w:szCs w:val="18"/>
              </w:rPr>
              <w:t xml:space="preserve">Aktiv- und Passivformen einordnen und die Konjugation bestimmen.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☐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☐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☐</w:t>
            </w:r>
          </w:p>
        </w:tc>
      </w:tr>
      <w:tr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30"/>
              <w:left w:type="dxa" w:w="130"/>
              <w:bottom w:type="dxa" w:w="1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4B5"/>
                <w:sz w:val="19"/>
                <w:szCs w:val="19"/>
              </w:rPr>
              <w:t xml:space="preserve">AH S. 25 · 2a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1"/>
                <w:szCs w:val="21"/>
              </w:rPr>
              <w:t xml:space="preserve">Aktiv oder Passiv?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8"/>
                <w:szCs w:val="18"/>
              </w:rPr>
              <w:t xml:space="preserve">Formen in die Tabellen für Präsens, Imperfekt und Futur eintragen und übersetzen.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☐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☐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2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0"/>
          <w:szCs w:val="20"/>
        </w:rPr>
        <w:t xml:space="preserve">WAHLBEREICH – wähle drei</w:t>
      </w:r>
    </w:p>
    <w:tbl>
      <w:tblPr>
        <w:tblW w:type="pct" w:w="100%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AFC8DE" w:sz="2"/>
          <w:insideV w:val="single" w:color="AFC8DE" w:sz="2"/>
        </w:tblBorders>
      </w:tblPr>
      <w:tblGrid>
        <w:gridCol w:w="1500"/>
        <w:gridCol w:w="5106"/>
        <w:gridCol w:w="1000"/>
        <w:gridCol w:w="1100"/>
        <w:gridCol w:w="1000"/>
      </w:tblGrid>
      <w:tr>
        <w:trPr>
          <w:tblHeader/>
        </w:trPr>
        <w:tc>
          <w:tcPr>
            <w:tcW w:type="dxa" w:w="15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Quelle</w:t>
            </w:r>
          </w:p>
        </w:tc>
        <w:tc>
          <w:tcPr>
            <w:tcW w:type="dxa" w:w="5106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Aufgabe</w:t>
            </w:r>
          </w:p>
        </w:tc>
        <w:tc>
          <w:tcPr>
            <w:tcW w:type="dxa" w:w="10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Erledigt</w:t>
            </w:r>
          </w:p>
        </w:tc>
        <w:tc>
          <w:tcPr>
            <w:tcW w:type="dxa" w:w="11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Mit Partner verglichen</w:t>
            </w:r>
          </w:p>
        </w:tc>
        <w:tc>
          <w:tcPr>
            <w:tcW w:type="dxa" w:w="10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Dem Grammaticus gezeigt</w:t>
            </w:r>
          </w:p>
        </w:tc>
      </w:tr>
      <w:tr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30"/>
              <w:left w:type="dxa" w:w="130"/>
              <w:bottom w:type="dxa" w:w="1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4B5"/>
                <w:sz w:val="19"/>
                <w:szCs w:val="19"/>
              </w:rPr>
              <w:t xml:space="preserve">SB S. 111 · 2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1"/>
                <w:szCs w:val="21"/>
              </w:rPr>
              <w:t xml:space="preserve">In Ordnung gebracht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8"/>
                <w:szCs w:val="18"/>
              </w:rPr>
              <w:t xml:space="preserve">Die Personalendungen sortieren und die Personalpronomen dazu nennen.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☐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☐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☐</w:t>
            </w:r>
          </w:p>
        </w:tc>
      </w:tr>
      <w:tr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30"/>
              <w:left w:type="dxa" w:w="130"/>
              <w:bottom w:type="dxa" w:w="1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4B5"/>
                <w:sz w:val="19"/>
                <w:szCs w:val="19"/>
              </w:rPr>
              <w:t xml:space="preserve">SB S. 111 · 4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1"/>
                <w:szCs w:val="21"/>
              </w:rPr>
              <w:t xml:space="preserve">Umformung erwünscht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8"/>
                <w:szCs w:val="18"/>
              </w:rPr>
              <w:t xml:space="preserve">Sätze übersetzen, ins Passiv umformen und noch einmal übersetzen.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☐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☐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☐</w:t>
            </w:r>
          </w:p>
        </w:tc>
      </w:tr>
      <w:tr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30"/>
              <w:left w:type="dxa" w:w="130"/>
              <w:bottom w:type="dxa" w:w="1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4B5"/>
                <w:sz w:val="19"/>
                <w:szCs w:val="19"/>
              </w:rPr>
              <w:t xml:space="preserve">SB S. 111 · 5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1"/>
                <w:szCs w:val="21"/>
              </w:rPr>
              <w:t xml:space="preserve">Fit für Deutsch I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8"/>
                <w:szCs w:val="18"/>
              </w:rPr>
              <w:t xml:space="preserve">Die „werden“-Falle: Futur blau, Passiv rot unterstreichen.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☐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☐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☐</w:t>
            </w:r>
          </w:p>
        </w:tc>
      </w:tr>
      <w:tr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30"/>
              <w:left w:type="dxa" w:w="130"/>
              <w:bottom w:type="dxa" w:w="1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4B5"/>
                <w:sz w:val="19"/>
                <w:szCs w:val="19"/>
              </w:rPr>
              <w:t xml:space="preserve">SB S. 111 · 6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1"/>
                <w:szCs w:val="21"/>
              </w:rPr>
              <w:t xml:space="preserve">Fit für Deutsch II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8"/>
                <w:szCs w:val="18"/>
              </w:rPr>
              <w:t xml:space="preserve">Drei verschiedene Wiedergaben des lateinischen Passivs im Deutschen.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☐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☐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☐</w:t>
            </w:r>
          </w:p>
        </w:tc>
      </w:tr>
      <w:tr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30"/>
              <w:left w:type="dxa" w:w="130"/>
              <w:bottom w:type="dxa" w:w="1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4B5"/>
                <w:sz w:val="19"/>
                <w:szCs w:val="19"/>
              </w:rPr>
              <w:t xml:space="preserve">AH S. 26 · 3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1"/>
                <w:szCs w:val="21"/>
              </w:rPr>
              <w:t xml:space="preserve">Angriff!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8"/>
                <w:szCs w:val="18"/>
              </w:rPr>
              <w:t xml:space="preserve">Verbformen und Übersetzungen zuordnen – die Lösungsbuchstaben ergeben ein Wort.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☐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☐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☐</w:t>
            </w:r>
          </w:p>
        </w:tc>
      </w:tr>
      <w:tr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30"/>
              <w:left w:type="dxa" w:w="130"/>
              <w:bottom w:type="dxa" w:w="1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4B5"/>
                <w:sz w:val="19"/>
                <w:szCs w:val="19"/>
              </w:rPr>
              <w:t xml:space="preserve">AH S. 26 · 4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1"/>
                <w:szCs w:val="21"/>
              </w:rPr>
              <w:t xml:space="preserve">Treffsicher formuliert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8"/>
                <w:szCs w:val="18"/>
              </w:rPr>
              <w:t xml:space="preserve">Jeden Satz zweimal übersetzen: einmal mit Passiv, einmal freier.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☐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☐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☐</w:t>
            </w:r>
          </w:p>
        </w:tc>
      </w:tr>
    </w:tbl>
    <w:p>
      <w:r>
        <w:br w:type="page"/>
      </w:r>
    </w:p>
    <w:p>
      <w:pPr>
        <w:pBdr>
          <w:bottom w:val="single" w:color="2E74B5" w:sz="8"/>
        </w:pBdr>
        <w:spacing w:after="20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0"/>
          <w:szCs w:val="20"/>
        </w:rPr>
        <w:t xml:space="preserve">Lektion 15 · Bauern und Adlige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808080"/>
          <w:sz w:val="20"/>
          <w:szCs w:val="20"/>
        </w:rPr>
        <w:t xml:space="preserve">					AB 13 · Freiarbeit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0"/>
          <w:szCs w:val="20"/>
        </w:rPr>
        <w:t xml:space="preserve">FÜR SCHNELLE – zur Belohnung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808080"/>
          <w:sz w:val="20"/>
          <w:szCs w:val="20"/>
        </w:rPr>
        <w:t xml:space="preserve">Kein weiteres Übungsblatt, sondern etwas zu knacken.</w:t>
      </w:r>
    </w:p>
    <w:tbl>
      <w:tblPr>
        <w:tblW w:type="pct" w:w="100%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AFC8DE" w:sz="2"/>
          <w:insideV w:val="single" w:color="AFC8DE" w:sz="2"/>
        </w:tblBorders>
      </w:tblPr>
      <w:tblGrid>
        <w:gridCol w:w="1500"/>
        <w:gridCol w:w="5106"/>
        <w:gridCol w:w="1000"/>
        <w:gridCol w:w="1100"/>
        <w:gridCol w:w="1000"/>
      </w:tblGrid>
      <w:tr>
        <w:trPr>
          <w:tblHeader/>
        </w:trPr>
        <w:tc>
          <w:tcPr>
            <w:tcW w:type="dxa" w:w="15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Quelle</w:t>
            </w:r>
          </w:p>
        </w:tc>
        <w:tc>
          <w:tcPr>
            <w:tcW w:type="dxa" w:w="5106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Aufgabe</w:t>
            </w:r>
          </w:p>
        </w:tc>
        <w:tc>
          <w:tcPr>
            <w:tcW w:type="dxa" w:w="10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Erledigt</w:t>
            </w:r>
          </w:p>
        </w:tc>
        <w:tc>
          <w:tcPr>
            <w:tcW w:type="dxa" w:w="11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Mit Partner verglichen</w:t>
            </w:r>
          </w:p>
        </w:tc>
        <w:tc>
          <w:tcPr>
            <w:tcW w:type="dxa" w:w="10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Dem Grammaticus gezeigt</w:t>
            </w:r>
          </w:p>
        </w:tc>
      </w:tr>
      <w:tr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30"/>
              <w:left w:type="dxa" w:w="130"/>
              <w:bottom w:type="dxa" w:w="1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4B5"/>
                <w:sz w:val="19"/>
                <w:szCs w:val="19"/>
              </w:rPr>
              <w:t xml:space="preserve">AB 04b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1"/>
                <w:szCs w:val="21"/>
              </w:rPr>
              <w:t xml:space="preserve">Bobibus Schatztruhe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8"/>
                <w:szCs w:val="18"/>
              </w:rPr>
              <w:t xml:space="preserve">Drei Schlösser, drei Codewörter. Wer alle knackt, bekommt den Bobibu-Joker.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☐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☐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☐</w:t>
            </w:r>
          </w:p>
        </w:tc>
      </w:tr>
      <w:tr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30"/>
              <w:left w:type="dxa" w:w="130"/>
              <w:bottom w:type="dxa" w:w="1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4B5"/>
                <w:sz w:val="19"/>
                <w:szCs w:val="19"/>
              </w:rPr>
              <w:t xml:space="preserve">AH S. 27 · 5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1"/>
                <w:szCs w:val="21"/>
              </w:rPr>
              <w:t xml:space="preserve">Tiberius’ speech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8"/>
                <w:szCs w:val="18"/>
              </w:rPr>
              <w:t xml:space="preserve">Die Rede auf Englisch – lateinische Wurzeln finden. Lösungswort: ein berühmter Name.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☐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☐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☐</w:t>
            </w:r>
          </w:p>
        </w:tc>
      </w:tr>
      <w:tr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30"/>
              <w:left w:type="dxa" w:w="130"/>
              <w:bottom w:type="dxa" w:w="1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4B5"/>
                <w:sz w:val="19"/>
                <w:szCs w:val="19"/>
              </w:rPr>
              <w:t xml:space="preserve">AH S. 27 · 6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1"/>
                <w:szCs w:val="21"/>
              </w:rPr>
              <w:t xml:space="preserve">Aufgehorcht!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8"/>
                <w:szCs w:val="18"/>
              </w:rPr>
              <w:t xml:space="preserve">Sechs Begriffe im Buchstabengitter suchen und danach erklären.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☐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☐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☐</w:t>
            </w:r>
          </w:p>
        </w:tc>
      </w:tr>
      <w:tr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30"/>
              <w:left w:type="dxa" w:w="130"/>
              <w:bottom w:type="dxa" w:w="1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4B5"/>
                <w:sz w:val="19"/>
                <w:szCs w:val="19"/>
              </w:rPr>
              <w:t xml:space="preserve">SB S. 113 · D5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1"/>
                <w:szCs w:val="21"/>
              </w:rPr>
              <w:t xml:space="preserve">Über die Eselsbrücke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8"/>
                <w:szCs w:val="18"/>
              </w:rPr>
              <w:t xml:space="preserve">Selbst zwei Eselsbrücken erfinden und die Klasse raten lassen.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☐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☐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☐</w:t>
            </w:r>
          </w:p>
        </w:tc>
      </w:tr>
      <w:tr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30"/>
              <w:left w:type="dxa" w:w="130"/>
              <w:bottom w:type="dxa" w:w="1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4B5"/>
                <w:sz w:val="19"/>
                <w:szCs w:val="19"/>
              </w:rPr>
              <w:t xml:space="preserve">SB S. 112 · 10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1"/>
                <w:szCs w:val="21"/>
              </w:rPr>
              <w:t xml:space="preserve">Über die Eselsbrücke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8"/>
                <w:szCs w:val="18"/>
              </w:rPr>
              <w:t xml:space="preserve">Vier Eselsbrücken auflösen – welche Vokabel steckt jeweils dahinter?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☐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☐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2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tbl>
      <w:tblPr>
        <w:tblW w:type="pct" w:w="100%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none"/>
          <w:insideV w:val="none"/>
        </w:tblBorders>
      </w:tblPr>
      <w:tblGrid>
        <w:gridCol w:w="100"/>
      </w:tblGrid>
      <w:tr>
        <w:tc>
          <w:tcPr>
            <w:shd w:fill="DCE9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D5C"/>
                <w:sz w:val="21"/>
                <w:szCs w:val="21"/>
              </w:rPr>
              <w:t xml:space="preserve">Drei Spalten – und warum es sie gibt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Erledigt heißt: Ich habe es allein versucht. Mit Partner verglichen heißt: Wir haben unsere Lösungen nebeneinandergelegt und über die Unterschiede geredet – nicht abgeschrieben. Dem Grammaticus gezeigt heißt: Ich habe eine Aufgabe ausgesucht und erklärt, wie ich vorgegangen bin.</w:t>
            </w:r>
          </w:p>
        </w:tc>
      </w:tr>
    </w:tbl>
    <w:p>
      <w:pPr>
        <w:spacing w:after="2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sz w:val="21"/>
          <w:szCs w:val="21"/>
        </w:rPr>
        <w:t xml:space="preserve">Das war für mich am schwersten – und so bin ich damit umgegangen:</w:t>
      </w:r>
    </w:p>
    <w:tbl>
      <w:tblPr>
        <w:tblW w:type="pct" w:w="100%"/>
        <w:tblBorders>
          <w:top w:val="none"/>
          <w:left w:val="none"/>
          <w:bottom w:val="single" w:color="AAAAAA" w:sz="4"/>
          <w:right w:val="none"/>
          <w:insideH w:val="single" w:color="AAAAAA" w:sz="4"/>
          <w:insideV w:val="none"/>
        </w:tblBorders>
      </w:tblPr>
      <w:tblGrid>
        <w:gridCol w:w="100"/>
      </w:tblGrid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800" w:right="1100" w:bottom="8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808080"/>
        <w:sz w:val="16"/>
        <w:szCs w:val="16"/>
      </w:rPr>
      <w:t xml:space="preserve">Lektion 15 · Bauern und Adlige  |  AB 13 · Freiarbeit-Laufzettel Passiv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2026-08-30T22:14:25.423Z</dcterms:created>
  <dcterms:modified xsi:type="dcterms:W3CDTF">2026-08-30T22:14:25.423Z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