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pPr>
      <w:r>
        <w:rPr>
          <w:b/>
          <w:bCs/>
          <w:color w:val="2E74B5"/>
          <w:sz w:val="20"/>
          <w:szCs w:val="20"/>
        </w:rPr>
        <w:t xml:space="preserve">Lektion 15 · Bauern und Adlige</w:t>
      </w:r>
      <w:r>
        <w:rPr>
          <w:color w:val="808080"/>
          <w:sz w:val="20"/>
          <w:szCs w:val="20"/>
        </w:rPr>
        <w:t xml:space="preserve">					Lehrer-Konzept</w:t>
      </w:r>
    </w:p>
    <w:p>
      <w:pPr>
        <w:spacing w:after="120" w:before="0"/>
      </w:pPr>
      <w:r>
        <w:rPr>
          <w:rFonts w:ascii="Calibri" w:cs="Calibri" w:eastAsia="Calibri" w:hAnsi="Calibri"/>
          <w:b/>
          <w:bCs/>
          <w:color w:val="1F3D5C"/>
          <w:sz w:val="34"/>
          <w:szCs w:val="34"/>
        </w:rPr>
        <w:t xml:space="preserve">Offene Einheit zu Lektion 15 – Tiberius Gracchus kämpft für die Armen</w:t>
      </w:r>
    </w:p>
    <w:p>
      <w:pPr>
        <w:spacing w:after="300"/>
      </w:pPr>
      <w:r>
        <w:rPr>
          <w:rFonts w:ascii="Calibri" w:cs="Calibri" w:eastAsia="Calibri" w:hAnsi="Calibri"/>
          <w:color w:val="2E74B5"/>
          <w:sz w:val="22"/>
          <w:szCs w:val="22"/>
        </w:rPr>
        <w:t xml:space="preserve">Grammatikthema: Passiv (Präsens, Imperfekt, Futur; Infinitiv Passiv) · Konzeptdokument für die Lehrkraft</w:t>
      </w:r>
    </w:p>
    <w:p>
      <w:pPr>
        <w:spacing w:after="120" w:before="320"/>
      </w:pPr>
      <w:r>
        <w:rPr>
          <w:rFonts w:ascii="Calibri" w:cs="Calibri" w:eastAsia="Calibri" w:hAnsi="Calibri"/>
          <w:b/>
          <w:bCs/>
          <w:color w:val="2E74B5"/>
          <w:sz w:val="26"/>
          <w:szCs w:val="26"/>
        </w:rPr>
        <w:t xml:space="preserve">1. Idee und didaktische Begründung</w:t>
      </w:r>
    </w:p>
    <w:p>
      <w:pPr>
        <w:spacing w:after="120"/>
      </w:pPr>
      <w:r>
        <w:rPr>
          <w:rFonts w:ascii="Calibri" w:cs="Calibri" w:eastAsia="Calibri" w:hAnsi="Calibri"/>
          <w:b w:val="false"/>
          <w:bCs w:val="false"/>
          <w:i w:val="false"/>
          <w:iCs w:val="false"/>
          <w:sz w:val="22"/>
          <w:szCs w:val="22"/>
        </w:rPr>
        <w:t xml:space="preserve">Diese Einheit ersetzt den klassischen Frontalunterricht durch ein offenes Lernformat (Freiarbeit mit Lernplan). Die Schülerinnen und Schüler arbeiten in weitgehend freier Reihenfolge an Arbeitsblättern, die Grammatik, Lektionstext und Sachthema zu einem Lernparcours verbinden. Eine gemeinsame Leitfrage gibt dem Lernen Sinn: Grammatik wird nicht um ihrer selbst willen gelernt, sondern als Werkzeug, um eine inhaltliche Frage zu beantworten.</w:t>
      </w:r>
    </w:p>
    <w:p>
      <w:pPr>
        <w:spacing w:after="120"/>
      </w:pPr>
      <w:r>
        <w:rPr>
          <w:rFonts w:ascii="Calibri" w:cs="Calibri" w:eastAsia="Calibri" w:hAnsi="Calibri"/>
          <w:b w:val="false"/>
          <w:bCs w:val="false"/>
          <w:i w:val="false"/>
          <w:iCs w:val="false"/>
          <w:sz w:val="22"/>
          <w:szCs w:val="22"/>
        </w:rPr>
        <w:t xml:space="preserve">Das Passiv ist dafür ein besonders dankbares Thema, denn es kann etwas, was keine andere Form kann: </w:t>
      </w:r>
      <w:r>
        <w:rPr>
          <w:rFonts w:ascii="Calibri" w:cs="Calibri" w:eastAsia="Calibri" w:hAnsi="Calibri"/>
          <w:b/>
          <w:bCs/>
          <w:i w:val="false"/>
          <w:iCs w:val="false"/>
          <w:sz w:val="22"/>
          <w:szCs w:val="22"/>
        </w:rPr>
        <w:t xml:space="preserve">Es lässt den Täter verschwinden.</w:t>
      </w:r>
      <w:r>
        <w:rPr>
          <w:rFonts w:ascii="Calibri" w:cs="Calibri" w:eastAsia="Calibri" w:hAnsi="Calibri"/>
          <w:b w:val="false"/>
          <w:bCs w:val="false"/>
          <w:i w:val="false"/>
          <w:iCs w:val="false"/>
          <w:sz w:val="22"/>
          <w:szCs w:val="22"/>
        </w:rPr>
        <w:t xml:space="preserve"> „Die Nobiles haben die Bürger von ihren Äckern vertrieben“ nennt die Schuldigen; „Die Bürger werden vertrieben“ nennt sie nicht. Genau mit diesem Unterschied arbeitet Tiberius Gracchus in seiner Rede – und genau damit arbeiten auch heutige Nachrichtenmeldungen.</w:t>
      </w:r>
    </w:p>
    <w:p>
      <w:pPr>
        <w:spacing w:after="120"/>
      </w:pPr>
      <w:r>
        <w:rPr>
          <w:rFonts w:ascii="Calibri" w:cs="Calibri" w:eastAsia="Calibri" w:hAnsi="Calibri"/>
          <w:b w:val="false"/>
          <w:bCs w:val="false"/>
          <w:i w:val="false"/>
          <w:iCs w:val="false"/>
          <w:sz w:val="22"/>
          <w:szCs w:val="22"/>
        </w:rPr>
        <w:t xml:space="preserve">Form und Inhalt der Lektion verstärken sich also gegenseitig: Der Lektionstext handelt von Menschen, die etwas </w:t>
      </w:r>
      <w:r>
        <w:rPr>
          <w:rFonts w:ascii="Calibri" w:cs="Calibri" w:eastAsia="Calibri" w:hAnsi="Calibri"/>
          <w:b w:val="false"/>
          <w:bCs w:val="false"/>
          <w:i/>
          <w:iCs/>
          <w:sz w:val="22"/>
          <w:szCs w:val="22"/>
        </w:rPr>
        <w:t xml:space="preserve">erleiden</w:t>
      </w:r>
      <w:r>
        <w:rPr>
          <w:rFonts w:ascii="Calibri" w:cs="Calibri" w:eastAsia="Calibri" w:hAnsi="Calibri"/>
          <w:b w:val="false"/>
          <w:bCs w:val="false"/>
          <w:i w:val="false"/>
          <w:iCs w:val="false"/>
          <w:sz w:val="22"/>
          <w:szCs w:val="22"/>
        </w:rPr>
        <w:t xml:space="preserve"> – und die neue Grammatik ist genau die Form für das Erleiden. Die Schülerinnen und Schüler lernen das Passiv nicht als Endungstabelle, sondern als rhetorisches Werkzeug, dessen Wirkung sie am Text nachweisen können.</w:t>
      </w:r>
    </w:p>
    <w:p>
      <w:pPr>
        <w:spacing w:after="120" w:before="320"/>
      </w:pPr>
      <w:r>
        <w:rPr>
          <w:rFonts w:ascii="Calibri" w:cs="Calibri" w:eastAsia="Calibri" w:hAnsi="Calibri"/>
          <w:b/>
          <w:bCs/>
          <w:color w:val="2E74B5"/>
          <w:sz w:val="26"/>
          <w:szCs w:val="26"/>
        </w:rPr>
        <w:t xml:space="preserve">2. Die Leitfrage</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60"/>
              <w:jc w:val="center"/>
            </w:pPr>
            <w:r>
              <w:rPr>
                <w:rFonts w:ascii="Calibri" w:cs="Calibri" w:eastAsia="Calibri" w:hAnsi="Calibri"/>
                <w:b/>
                <w:bCs/>
                <w:color w:val="1F3D5C"/>
                <w:sz w:val="30"/>
                <w:szCs w:val="30"/>
              </w:rPr>
              <w:t xml:space="preserve">„Warum sagt Gracchus nicht, wer schuld ist?“</w:t>
            </w:r>
          </w:p>
          <w:p>
            <w:pPr>
              <w:spacing w:after="0"/>
              <w:jc w:val="center"/>
            </w:pPr>
            <w:r>
              <w:rPr>
                <w:rFonts w:ascii="Calibri" w:cs="Calibri" w:eastAsia="Calibri" w:hAnsi="Calibri"/>
                <w:i/>
                <w:iCs/>
                <w:color w:val="1F3D5C"/>
                <w:sz w:val="20"/>
                <w:szCs w:val="20"/>
              </w:rPr>
              <w:t xml:space="preserve">Tiberius Gracchus, die Bauern und die Macht des Passivs</w:t>
            </w:r>
          </w:p>
        </w:tc>
      </w:tr>
    </w:tbl>
    <w:p>
      <w:pPr>
        <w:spacing w:after="16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bCs/>
          <w:i w:val="false"/>
          <w:iCs w:val="false"/>
          <w:sz w:val="22"/>
          <w:szCs w:val="22"/>
        </w:rPr>
        <w:t xml:space="preserve">Begründung: </w:t>
      </w:r>
      <w:r>
        <w:rPr>
          <w:rFonts w:ascii="Calibri" w:cs="Calibri" w:eastAsia="Calibri" w:hAnsi="Calibri"/>
          <w:b w:val="false"/>
          <w:bCs w:val="false"/>
          <w:i w:val="false"/>
          <w:iCs w:val="false"/>
          <w:sz w:val="22"/>
          <w:szCs w:val="22"/>
        </w:rPr>
        <w:t xml:space="preserve">Die Frage lässt sich nicht mit Ja/Nein beantworten und erst dann wirklich lösen, wenn der Text übersetzt ist. Sie führt unmittelbar auf das Grammatikthema: Wer die Frage beantworten will, muss erkennen, wo Gracchus aktiv formuliert (</w:t>
      </w:r>
      <w:r>
        <w:rPr>
          <w:rFonts w:ascii="Cambria" w:cs="Cambria" w:eastAsia="Cambria" w:hAnsi="Cambria"/>
          <w:b w:val="false"/>
          <w:bCs w:val="false"/>
          <w:i/>
          <w:iCs/>
          <w:sz w:val="22"/>
          <w:szCs w:val="22"/>
        </w:rPr>
        <w:t xml:space="preserve">nobilēs cīvēs ab agrīs pepulērunt</w:t>
      </w:r>
      <w:r>
        <w:rPr>
          <w:rFonts w:ascii="Calibri" w:cs="Calibri" w:eastAsia="Calibri" w:hAnsi="Calibri"/>
          <w:b w:val="false"/>
          <w:bCs w:val="false"/>
          <w:i w:val="false"/>
          <w:iCs w:val="false"/>
          <w:sz w:val="22"/>
          <w:szCs w:val="22"/>
        </w:rPr>
        <w:t xml:space="preserve"> – die Täter werden genannt) und wo er ins Passiv wechselt (</w:t>
      </w:r>
      <w:r>
        <w:rPr>
          <w:rFonts w:ascii="Cambria" w:cs="Cambria" w:eastAsia="Cambria" w:hAnsi="Cambria"/>
          <w:b w:val="false"/>
          <w:bCs w:val="false"/>
          <w:i/>
          <w:iCs/>
          <w:sz w:val="22"/>
          <w:szCs w:val="22"/>
        </w:rPr>
        <w:t xml:space="preserve">tamen nōn pūniuntur, opprimimur, famē urgentur</w:t>
      </w:r>
      <w:r>
        <w:rPr>
          <w:rFonts w:ascii="Calibri" w:cs="Calibri" w:eastAsia="Calibri" w:hAnsi="Calibri"/>
          <w:b w:val="false"/>
          <w:bCs w:val="false"/>
          <w:i w:val="false"/>
          <w:iCs w:val="false"/>
          <w:sz w:val="22"/>
          <w:szCs w:val="22"/>
        </w:rPr>
        <w:t xml:space="preserve"> – die Täter verschwinden, die Bauern erscheinen als Opfer). Die Antwort ist beides zugleich: eine grammatische und eine politische.</w:t>
      </w:r>
    </w:p>
    <w:p>
      <w:pPr>
        <w:spacing w:after="120"/>
      </w:pPr>
      <w:r>
        <w:rPr>
          <w:rFonts w:ascii="Calibri" w:cs="Calibri" w:eastAsia="Calibri" w:hAnsi="Calibri"/>
          <w:b w:val="false"/>
          <w:bCs w:val="false"/>
          <w:i w:val="false"/>
          <w:iCs w:val="false"/>
          <w:sz w:val="22"/>
          <w:szCs w:val="22"/>
        </w:rPr>
        <w:t xml:space="preserve">Die Frage bleibt außerdem anschlussfähig über die Antike hinaus: Auch in Zeitungsmeldungen („Die Straßen wurden gesperrt“) wird der Handelnde regelmäßig verschwiegen. Das macht den Einstieg für Achtklässler unmittelbar zugänglich.</w:t>
      </w:r>
    </w:p>
    <w:p>
      <w:pPr>
        <w:spacing w:after="120" w:before="320"/>
      </w:pPr>
      <w:r>
        <w:rPr>
          <w:rFonts w:ascii="Calibri" w:cs="Calibri" w:eastAsia="Calibri" w:hAnsi="Calibri"/>
          <w:b/>
          <w:bCs/>
          <w:color w:val="2E74B5"/>
          <w:sz w:val="26"/>
          <w:szCs w:val="26"/>
        </w:rPr>
        <w:t xml:space="preserve">3. Phasenübersicht mit Zeitbedarf</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100"/>
        <w:gridCol w:w="100"/>
        <w:gridCol w:w="100"/>
        <w:gridCol w:w="100"/>
      </w:tblGrid>
      <w:tr>
        <w:trPr>
          <w:tblHeader/>
        </w:trPr>
        <w:tc>
          <w:tcPr>
            <w:tcW w:type="pct" w:w="24%"/>
            <w:shd w:fill="DCE9F5" w:val="clear"/>
            <w:tcMar>
              <w:top w:type="dxa" w:w="90"/>
              <w:left w:type="dxa" w:w="130"/>
              <w:bottom w:type="dxa" w:w="90"/>
              <w:right w:type="dxa" w:w="130"/>
            </w:tcMar>
          </w:tcPr>
          <w:p>
            <w:pPr>
              <w:spacing w:after="0"/>
            </w:pPr>
            <w:r>
              <w:rPr>
                <w:rFonts w:ascii="Calibri" w:cs="Calibri" w:eastAsia="Calibri" w:hAnsi="Calibri"/>
                <w:b/>
                <w:bCs/>
                <w:sz w:val="20"/>
                <w:szCs w:val="20"/>
              </w:rPr>
              <w:t xml:space="preserve">Phase</w:t>
            </w:r>
          </w:p>
        </w:tc>
        <w:tc>
          <w:tcPr>
            <w:tcW w:type="pct" w:w="38%"/>
            <w:shd w:fill="DCE9F5" w:val="clear"/>
            <w:tcMar>
              <w:top w:type="dxa" w:w="90"/>
              <w:left w:type="dxa" w:w="130"/>
              <w:bottom w:type="dxa" w:w="90"/>
              <w:right w:type="dxa" w:w="130"/>
            </w:tcMar>
          </w:tcPr>
          <w:p>
            <w:pPr>
              <w:spacing w:after="0"/>
            </w:pPr>
            <w:r>
              <w:rPr>
                <w:rFonts w:ascii="Calibri" w:cs="Calibri" w:eastAsia="Calibri" w:hAnsi="Calibri"/>
                <w:b/>
                <w:bCs/>
                <w:sz w:val="20"/>
                <w:szCs w:val="20"/>
              </w:rPr>
              <w:t xml:space="preserve">Inhalt</w:t>
            </w:r>
          </w:p>
        </w:tc>
        <w:tc>
          <w:tcPr>
            <w:tcW w:type="pct" w:w="25%"/>
            <w:shd w:fill="DCE9F5" w:val="clear"/>
            <w:tcMar>
              <w:top w:type="dxa" w:w="90"/>
              <w:left w:type="dxa" w:w="130"/>
              <w:bottom w:type="dxa" w:w="90"/>
              <w:right w:type="dxa" w:w="130"/>
            </w:tcMar>
          </w:tcPr>
          <w:p>
            <w:pPr>
              <w:spacing w:after="0"/>
            </w:pPr>
            <w:r>
              <w:rPr>
                <w:rFonts w:ascii="Calibri" w:cs="Calibri" w:eastAsia="Calibri" w:hAnsi="Calibri"/>
                <w:b/>
                <w:bCs/>
                <w:sz w:val="20"/>
                <w:szCs w:val="20"/>
              </w:rPr>
              <w:t xml:space="preserve">Materialien</w:t>
            </w:r>
          </w:p>
        </w:tc>
        <w:tc>
          <w:tcPr>
            <w:tcW w:type="pct" w:w="13%"/>
            <w:shd w:fill="DCE9F5" w:val="clear"/>
            <w:tcMar>
              <w:top w:type="dxa" w:w="90"/>
              <w:left w:type="dxa" w:w="130"/>
              <w:bottom w:type="dxa" w:w="90"/>
              <w:right w:type="dxa" w:w="130"/>
            </w:tcMar>
          </w:tcPr>
          <w:p>
            <w:pPr>
              <w:spacing w:after="0"/>
              <w:jc w:val="center"/>
            </w:pPr>
            <w:r>
              <w:rPr>
                <w:rFonts w:ascii="Calibri" w:cs="Calibri" w:eastAsia="Calibri" w:hAnsi="Calibri"/>
                <w:b/>
                <w:bCs/>
                <w:sz w:val="20"/>
                <w:szCs w:val="20"/>
              </w:rPr>
              <w:t xml:space="preserve">Zeit ca.</w:t>
            </w:r>
          </w:p>
        </w:tc>
      </w:tr>
      <w:tr>
        <w:tc>
          <w:tcPr>
            <w:tcW w:type="pct" w:w="24%"/>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1 – Passiv entdecken</w:t>
            </w:r>
          </w:p>
        </w:tc>
        <w:tc>
          <w:tcPr>
            <w:tcW w:type="pct" w:w="38%"/>
            <w:tcMar>
              <w:top w:type="dxa" w:w="90"/>
              <w:left w:type="dxa" w:w="130"/>
              <w:bottom w:type="dxa" w:w="90"/>
              <w:right w:type="dxa" w:w="130"/>
            </w:tcMar>
          </w:tcPr>
          <w:p>
            <w:pPr>
              <w:spacing w:after="0"/>
            </w:pPr>
            <w:r>
              <w:rPr>
                <w:rFonts w:ascii="Calibri" w:cs="Calibri" w:eastAsia="Calibri" w:hAnsi="Calibri"/>
                <w:sz w:val="20"/>
                <w:szCs w:val="20"/>
              </w:rPr>
              <w:t xml:space="preserve">Einstieg über deutsche Schlagzeilen,</w:t>
            </w:r>
          </w:p>
          <w:p>
            <w:pPr>
              <w:spacing w:after="0"/>
            </w:pPr>
            <w:r>
              <w:rPr>
                <w:rFonts w:ascii="Calibri" w:cs="Calibri" w:eastAsia="Calibri" w:hAnsi="Calibri"/>
                <w:sz w:val="20"/>
                <w:szCs w:val="20"/>
              </w:rPr>
              <w:t xml:space="preserve">lateinische Formen induktiv erschließen,</w:t>
            </w:r>
          </w:p>
          <w:p>
            <w:pPr>
              <w:spacing w:after="0"/>
            </w:pPr>
            <w:r>
              <w:rPr>
                <w:rFonts w:ascii="Calibri" w:cs="Calibri" w:eastAsia="Calibri" w:hAnsi="Calibri"/>
                <w:sz w:val="20"/>
                <w:szCs w:val="20"/>
              </w:rPr>
              <w:t xml:space="preserve">sichern (Weg A / B) und üben</w:t>
            </w:r>
          </w:p>
        </w:tc>
        <w:tc>
          <w:tcPr>
            <w:tcW w:type="pct" w:w="25%"/>
            <w:tcMar>
              <w:top w:type="dxa" w:w="90"/>
              <w:left w:type="dxa" w:w="130"/>
              <w:bottom w:type="dxa" w:w="90"/>
              <w:right w:type="dxa" w:w="130"/>
            </w:tcMar>
          </w:tcPr>
          <w:p>
            <w:pPr>
              <w:spacing w:after="0"/>
            </w:pPr>
            <w:r>
              <w:rPr>
                <w:rFonts w:ascii="Calibri" w:cs="Calibri" w:eastAsia="Calibri" w:hAnsi="Calibri"/>
                <w:sz w:val="20"/>
                <w:szCs w:val="20"/>
              </w:rPr>
              <w:t xml:space="preserve">AB 01, AB 02,</w:t>
            </w:r>
          </w:p>
          <w:p>
            <w:pPr>
              <w:spacing w:after="0"/>
            </w:pPr>
            <w:r>
              <w:rPr>
                <w:rFonts w:ascii="Calibri" w:cs="Calibri" w:eastAsia="Calibri" w:hAnsi="Calibri"/>
                <w:sz w:val="20"/>
                <w:szCs w:val="20"/>
              </w:rPr>
              <w:t xml:space="preserve">AB 03a/b, AB 04</w:t>
            </w:r>
          </w:p>
          <w:p>
            <w:pPr>
              <w:spacing w:after="0"/>
            </w:pPr>
            <w:r>
              <w:rPr>
                <w:rFonts w:ascii="Calibri" w:cs="Calibri" w:eastAsia="Calibri" w:hAnsi="Calibri"/>
                <w:sz w:val="20"/>
                <w:szCs w:val="20"/>
              </w:rPr>
              <w:t xml:space="preserve">→ Grammaticus 1 + 2</w:t>
            </w:r>
          </w:p>
        </w:tc>
        <w:tc>
          <w:tcPr>
            <w:tcW w:type="pct" w:w="13%"/>
            <w:tcMar>
              <w:top w:type="dxa" w:w="90"/>
              <w:left w:type="dxa" w:w="130"/>
              <w:bottom w:type="dxa" w:w="90"/>
              <w:right w:type="dxa" w:w="130"/>
            </w:tcMar>
          </w:tcPr>
          <w:p>
            <w:pPr>
              <w:spacing w:after="0"/>
              <w:jc w:val="center"/>
            </w:pPr>
            <w:r>
              <w:rPr>
                <w:rFonts w:ascii="Calibri" w:cs="Calibri" w:eastAsia="Calibri" w:hAnsi="Calibri"/>
                <w:b w:val="false"/>
                <w:bCs w:val="false"/>
                <w:sz w:val="20"/>
                <w:szCs w:val="20"/>
              </w:rPr>
              <w:t xml:space="preserve">70–90 Min.</w:t>
            </w:r>
          </w:p>
        </w:tc>
      </w:tr>
      <w:tr>
        <w:tc>
          <w:tcPr>
            <w:tcW w:type="pct" w:w="24%"/>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2 – Vorbereitung der Expedition</w:t>
            </w:r>
          </w:p>
        </w:tc>
        <w:tc>
          <w:tcPr>
            <w:tcW w:type="pct" w:w="38%"/>
            <w:tcMar>
              <w:top w:type="dxa" w:w="90"/>
              <w:left w:type="dxa" w:w="130"/>
              <w:bottom w:type="dxa" w:w="90"/>
              <w:right w:type="dxa" w:w="130"/>
            </w:tcMar>
          </w:tcPr>
          <w:p>
            <w:pPr>
              <w:spacing w:after="0"/>
            </w:pPr>
            <w:r>
              <w:rPr>
                <w:rFonts w:ascii="Calibri" w:cs="Calibri" w:eastAsia="Calibri" w:hAnsi="Calibri"/>
                <w:sz w:val="20"/>
                <w:szCs w:val="20"/>
              </w:rPr>
              <w:t xml:space="preserve">Wortschatz aktivieren, Passivformen im</w:t>
            </w:r>
          </w:p>
          <w:p>
            <w:pPr>
              <w:spacing w:after="0"/>
            </w:pPr>
            <w:r>
              <w:rPr>
                <w:rFonts w:ascii="Calibri" w:cs="Calibri" w:eastAsia="Calibri" w:hAnsi="Calibri"/>
                <w:sz w:val="20"/>
                <w:szCs w:val="20"/>
              </w:rPr>
              <w:t xml:space="preserve">Lektionstext aufspüren, Arbeitsplatz ordnen</w:t>
            </w:r>
          </w:p>
        </w:tc>
        <w:tc>
          <w:tcPr>
            <w:tcW w:type="pct" w:w="25%"/>
            <w:tcMar>
              <w:top w:type="dxa" w:w="90"/>
              <w:left w:type="dxa" w:w="130"/>
              <w:bottom w:type="dxa" w:w="90"/>
              <w:right w:type="dxa" w:w="130"/>
            </w:tcMar>
          </w:tcPr>
          <w:p>
            <w:pPr>
              <w:spacing w:after="0"/>
            </w:pPr>
            <w:r>
              <w:rPr>
                <w:rFonts w:ascii="Calibri" w:cs="Calibri" w:eastAsia="Calibri" w:hAnsi="Calibri"/>
                <w:sz w:val="20"/>
                <w:szCs w:val="20"/>
              </w:rPr>
              <w:t xml:space="preserve">AB 05, AB 06, AB 07</w:t>
            </w:r>
          </w:p>
        </w:tc>
        <w:tc>
          <w:tcPr>
            <w:tcW w:type="pct" w:w="13%"/>
            <w:tcMar>
              <w:top w:type="dxa" w:w="90"/>
              <w:left w:type="dxa" w:w="130"/>
              <w:bottom w:type="dxa" w:w="90"/>
              <w:right w:type="dxa" w:w="130"/>
            </w:tcMar>
          </w:tcPr>
          <w:p>
            <w:pPr>
              <w:spacing w:after="0"/>
              <w:jc w:val="center"/>
            </w:pPr>
            <w:r>
              <w:rPr>
                <w:rFonts w:ascii="Calibri" w:cs="Calibri" w:eastAsia="Calibri" w:hAnsi="Calibri"/>
                <w:b w:val="false"/>
                <w:bCs w:val="false"/>
                <w:sz w:val="20"/>
                <w:szCs w:val="20"/>
              </w:rPr>
              <w:t xml:space="preserve">35–45 Min.</w:t>
            </w:r>
          </w:p>
        </w:tc>
      </w:tr>
      <w:tr>
        <w:tc>
          <w:tcPr>
            <w:tcW w:type="pct" w:w="24%"/>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3 – Text entschlüsseln</w:t>
            </w:r>
          </w:p>
        </w:tc>
        <w:tc>
          <w:tcPr>
            <w:tcW w:type="pct" w:w="38%"/>
            <w:tcMar>
              <w:top w:type="dxa" w:w="90"/>
              <w:left w:type="dxa" w:w="130"/>
              <w:bottom w:type="dxa" w:w="90"/>
              <w:right w:type="dxa" w:w="130"/>
            </w:tcMar>
          </w:tcPr>
          <w:p>
            <w:pPr>
              <w:spacing w:after="0"/>
            </w:pPr>
            <w:r>
              <w:rPr>
                <w:rFonts w:ascii="Calibri" w:cs="Calibri" w:eastAsia="Calibri" w:hAnsi="Calibri"/>
                <w:sz w:val="20"/>
                <w:szCs w:val="20"/>
              </w:rPr>
              <w:t xml:space="preserve">Übersetzen mit selbst gewählter Hilfen-Stufe,</w:t>
            </w:r>
          </w:p>
          <w:p>
            <w:pPr>
              <w:spacing w:after="0"/>
            </w:pPr>
            <w:r>
              <w:rPr>
                <w:rFonts w:ascii="Calibri" w:cs="Calibri" w:eastAsia="Calibri" w:hAnsi="Calibri"/>
                <w:sz w:val="20"/>
                <w:szCs w:val="20"/>
              </w:rPr>
              <w:t xml:space="preserve">Übersetzungen vergleichen</w:t>
            </w:r>
          </w:p>
        </w:tc>
        <w:tc>
          <w:tcPr>
            <w:tcW w:type="pct" w:w="25%"/>
            <w:tcMar>
              <w:top w:type="dxa" w:w="90"/>
              <w:left w:type="dxa" w:w="130"/>
              <w:bottom w:type="dxa" w:w="90"/>
              <w:right w:type="dxa" w:w="130"/>
            </w:tcMar>
          </w:tcPr>
          <w:p>
            <w:pPr>
              <w:spacing w:after="0"/>
            </w:pPr>
            <w:r>
              <w:rPr>
                <w:rFonts w:ascii="Calibri" w:cs="Calibri" w:eastAsia="Calibri" w:hAnsi="Calibri"/>
                <w:sz w:val="20"/>
                <w:szCs w:val="20"/>
              </w:rPr>
              <w:t xml:space="preserve">AB 08 (3 Stufen), AB 09</w:t>
            </w:r>
          </w:p>
          <w:p>
            <w:pPr>
              <w:spacing w:after="0"/>
            </w:pPr>
            <w:r>
              <w:rPr>
                <w:rFonts w:ascii="Calibri" w:cs="Calibri" w:eastAsia="Calibri" w:hAnsi="Calibri"/>
                <w:sz w:val="20"/>
                <w:szCs w:val="20"/>
              </w:rPr>
              <w:t xml:space="preserve">→ Grammaticus 3</w:t>
            </w:r>
          </w:p>
        </w:tc>
        <w:tc>
          <w:tcPr>
            <w:tcW w:type="pct" w:w="13%"/>
            <w:tcMar>
              <w:top w:type="dxa" w:w="90"/>
              <w:left w:type="dxa" w:w="130"/>
              <w:bottom w:type="dxa" w:w="90"/>
              <w:right w:type="dxa" w:w="130"/>
            </w:tcMar>
          </w:tcPr>
          <w:p>
            <w:pPr>
              <w:spacing w:after="0"/>
              <w:jc w:val="center"/>
            </w:pPr>
            <w:r>
              <w:rPr>
                <w:rFonts w:ascii="Calibri" w:cs="Calibri" w:eastAsia="Calibri" w:hAnsi="Calibri"/>
                <w:b w:val="false"/>
                <w:bCs w:val="false"/>
                <w:sz w:val="20"/>
                <w:szCs w:val="20"/>
              </w:rPr>
              <w:t xml:space="preserve">60–75 Min.</w:t>
            </w:r>
          </w:p>
        </w:tc>
      </w:tr>
      <w:tr>
        <w:tc>
          <w:tcPr>
            <w:tcW w:type="pct" w:w="24%"/>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4 – Text verstehen</w:t>
            </w:r>
          </w:p>
        </w:tc>
        <w:tc>
          <w:tcPr>
            <w:tcW w:type="pct" w:w="38%"/>
            <w:tcMar>
              <w:top w:type="dxa" w:w="90"/>
              <w:left w:type="dxa" w:w="130"/>
              <w:bottom w:type="dxa" w:w="90"/>
              <w:right w:type="dxa" w:w="130"/>
            </w:tcMar>
          </w:tcPr>
          <w:p>
            <w:pPr>
              <w:spacing w:after="0"/>
            </w:pPr>
            <w:r>
              <w:rPr>
                <w:rFonts w:ascii="Calibri" w:cs="Calibri" w:eastAsia="Calibri" w:hAnsi="Calibri"/>
                <w:sz w:val="20"/>
                <w:szCs w:val="20"/>
              </w:rPr>
              <w:t xml:space="preserve">Rednerprofil, Textbelege, Analyse:</w:t>
            </w:r>
          </w:p>
          <w:p>
            <w:pPr>
              <w:spacing w:after="0"/>
            </w:pPr>
            <w:r>
              <w:rPr>
                <w:rFonts w:ascii="Calibri" w:cs="Calibri" w:eastAsia="Calibri" w:hAnsi="Calibri"/>
                <w:sz w:val="20"/>
                <w:szCs w:val="20"/>
              </w:rPr>
              <w:t xml:space="preserve">Wo nennt Gracchus Täter – wo nicht?</w:t>
            </w:r>
          </w:p>
        </w:tc>
        <w:tc>
          <w:tcPr>
            <w:tcW w:type="pct" w:w="25%"/>
            <w:tcMar>
              <w:top w:type="dxa" w:w="90"/>
              <w:left w:type="dxa" w:w="130"/>
              <w:bottom w:type="dxa" w:w="90"/>
              <w:right w:type="dxa" w:w="130"/>
            </w:tcMar>
          </w:tcPr>
          <w:p>
            <w:pPr>
              <w:spacing w:after="0"/>
            </w:pPr>
            <w:r>
              <w:rPr>
                <w:rFonts w:ascii="Calibri" w:cs="Calibri" w:eastAsia="Calibri" w:hAnsi="Calibri"/>
                <w:sz w:val="20"/>
                <w:szCs w:val="20"/>
              </w:rPr>
              <w:t xml:space="preserve">AB 10a/b/c + Lösungen</w:t>
            </w:r>
          </w:p>
        </w:tc>
        <w:tc>
          <w:tcPr>
            <w:tcW w:type="pct" w:w="13%"/>
            <w:tcMar>
              <w:top w:type="dxa" w:w="90"/>
              <w:left w:type="dxa" w:w="130"/>
              <w:bottom w:type="dxa" w:w="90"/>
              <w:right w:type="dxa" w:w="130"/>
            </w:tcMar>
          </w:tcPr>
          <w:p>
            <w:pPr>
              <w:spacing w:after="0"/>
              <w:jc w:val="center"/>
            </w:pPr>
            <w:r>
              <w:rPr>
                <w:rFonts w:ascii="Calibri" w:cs="Calibri" w:eastAsia="Calibri" w:hAnsi="Calibri"/>
                <w:b w:val="false"/>
                <w:bCs w:val="false"/>
                <w:sz w:val="20"/>
                <w:szCs w:val="20"/>
              </w:rPr>
              <w:t xml:space="preserve">40–50 Min.</w:t>
            </w:r>
          </w:p>
        </w:tc>
      </w:tr>
      <w:tr>
        <w:tc>
          <w:tcPr>
            <w:tcW w:type="pct" w:w="24%"/>
            <w:tcMar>
              <w:top w:type="dxa" w:w="90"/>
              <w:left w:type="dxa" w:w="130"/>
              <w:bottom w:type="dxa" w:w="90"/>
              <w:right w:type="dxa" w:w="130"/>
            </w:tcMar>
          </w:tcPr>
          <w:p>
            <w:pPr>
              <w:spacing w:after="0"/>
            </w:pPr>
            <w:r>
              <w:rPr>
                <w:rFonts w:ascii="Calibri" w:cs="Calibri" w:eastAsia="Calibri" w:hAnsi="Calibri"/>
                <w:b w:val="false"/>
                <w:bCs w:val="false"/>
                <w:sz w:val="20"/>
                <w:szCs w:val="20"/>
              </w:rPr>
              <w:t xml:space="preserve">5 – Antwort geben</w:t>
            </w:r>
          </w:p>
        </w:tc>
        <w:tc>
          <w:tcPr>
            <w:tcW w:type="pct" w:w="38%"/>
            <w:tcMar>
              <w:top w:type="dxa" w:w="90"/>
              <w:left w:type="dxa" w:w="130"/>
              <w:bottom w:type="dxa" w:w="90"/>
              <w:right w:type="dxa" w:w="130"/>
            </w:tcMar>
          </w:tcPr>
          <w:p>
            <w:pPr>
              <w:spacing w:after="0"/>
            </w:pPr>
            <w:r>
              <w:rPr>
                <w:rFonts w:ascii="Calibri" w:cs="Calibri" w:eastAsia="Calibri" w:hAnsi="Calibri"/>
                <w:sz w:val="20"/>
                <w:szCs w:val="20"/>
              </w:rPr>
              <w:t xml:space="preserve">Bobibus Falschmeldung vom Forum entlarven,</w:t>
            </w:r>
          </w:p>
          <w:p>
            <w:pPr>
              <w:spacing w:after="0"/>
            </w:pPr>
            <w:r>
              <w:rPr>
                <w:rFonts w:ascii="Calibri" w:cs="Calibri" w:eastAsia="Calibri" w:hAnsi="Calibri"/>
                <w:sz w:val="20"/>
                <w:szCs w:val="20"/>
              </w:rPr>
              <w:t xml:space="preserve">Leitfrage beantworten, Lernweg reflektieren</w:t>
            </w:r>
          </w:p>
        </w:tc>
        <w:tc>
          <w:tcPr>
            <w:tcW w:type="pct" w:w="25%"/>
            <w:tcMar>
              <w:top w:type="dxa" w:w="90"/>
              <w:left w:type="dxa" w:w="130"/>
              <w:bottom w:type="dxa" w:w="90"/>
              <w:right w:type="dxa" w:w="130"/>
            </w:tcMar>
          </w:tcPr>
          <w:p>
            <w:pPr>
              <w:spacing w:after="0"/>
            </w:pPr>
            <w:r>
              <w:rPr>
                <w:rFonts w:ascii="Calibri" w:cs="Calibri" w:eastAsia="Calibri" w:hAnsi="Calibri"/>
                <w:sz w:val="20"/>
                <w:szCs w:val="20"/>
              </w:rPr>
              <w:t xml:space="preserve">AB 11, AB 12</w:t>
            </w:r>
          </w:p>
        </w:tc>
        <w:tc>
          <w:tcPr>
            <w:tcW w:type="pct" w:w="13%"/>
            <w:tcMar>
              <w:top w:type="dxa" w:w="90"/>
              <w:left w:type="dxa" w:w="130"/>
              <w:bottom w:type="dxa" w:w="90"/>
              <w:right w:type="dxa" w:w="130"/>
            </w:tcMar>
          </w:tcPr>
          <w:p>
            <w:pPr>
              <w:spacing w:after="0"/>
              <w:jc w:val="center"/>
            </w:pPr>
            <w:r>
              <w:rPr>
                <w:rFonts w:ascii="Calibri" w:cs="Calibri" w:eastAsia="Calibri" w:hAnsi="Calibri"/>
                <w:b w:val="false"/>
                <w:bCs w:val="false"/>
                <w:sz w:val="20"/>
                <w:szCs w:val="20"/>
              </w:rPr>
              <w:t xml:space="preserve">45–55 Min.</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bCs/>
          <w:i w:val="false"/>
          <w:iCs w:val="false"/>
          <w:sz w:val="22"/>
          <w:szCs w:val="22"/>
        </w:rPr>
        <w:t xml:space="preserve">Gesamtumfang: etwa 4–5 Doppelstunden</w:t>
      </w:r>
      <w:r>
        <w:rPr>
          <w:rFonts w:ascii="Calibri" w:cs="Calibri" w:eastAsia="Calibri" w:hAnsi="Calibri"/>
          <w:b w:val="false"/>
          <w:bCs w:val="false"/>
          <w:i w:val="false"/>
          <w:iCs w:val="false"/>
          <w:sz w:val="22"/>
          <w:szCs w:val="22"/>
        </w:rPr>
        <w:t xml:space="preserve">, je nach Lerntempo der Gruppe. Da die Schülerinnen und Schüler unterschiedlich schnell arbeiten, sind die Übergänge zwischen den Phasen fließend – das ist gewollt.</w:t>
      </w:r>
    </w:p>
    <w:p>
      <w:pPr>
        <w:spacing w:after="120" w:before="320"/>
      </w:pPr>
      <w:r>
        <w:rPr>
          <w:rFonts w:ascii="Calibri" w:cs="Calibri" w:eastAsia="Calibri" w:hAnsi="Calibri"/>
          <w:b/>
          <w:bCs/>
          <w:color w:val="2E74B5"/>
          <w:sz w:val="26"/>
          <w:szCs w:val="26"/>
        </w:rPr>
        <w:t xml:space="preserve">4. Hinweise zur Durchführung</w:t>
      </w:r>
    </w:p>
    <w:p>
      <w:pPr>
        <w:spacing w:after="60"/>
      </w:pPr>
      <w:r>
        <w:rPr>
          <w:rFonts w:ascii="Calibri" w:cs="Calibri" w:eastAsia="Calibri" w:hAnsi="Calibri"/>
          <w:b/>
          <w:bCs/>
          <w:i w:val="false"/>
          <w:iCs w:val="false"/>
          <w:sz w:val="22"/>
          <w:szCs w:val="22"/>
        </w:rPr>
        <w:t xml:space="preserve">Einstieg (Plenum, ca. 15 Min.)</w:t>
      </w:r>
    </w:p>
    <w:p>
      <w:pPr>
        <w:spacing w:after="120"/>
      </w:pPr>
      <w:r>
        <w:rPr>
          <w:rFonts w:ascii="Calibri" w:cs="Calibri" w:eastAsia="Calibri" w:hAnsi="Calibri"/>
          <w:b w:val="false"/>
          <w:bCs w:val="false"/>
          <w:i w:val="false"/>
          <w:iCs w:val="false"/>
          <w:sz w:val="22"/>
          <w:szCs w:val="22"/>
        </w:rPr>
        <w:t xml:space="preserve">Vor der Freiarbeit steht bewusst eine gemeinsame Einführung des Passivs: AB 01 klärt am Deutschen, was ein Passiv überhaupt tut – nämlich den Täter unsichtbar machen. Erst danach werden Lernplan und Leitfrage ausgeteilt; die Leitfrage wird gut sichtbar im Klassenraum ausgehängt.</w:t>
      </w:r>
    </w:p>
    <w:p>
      <w:pPr>
        <w:spacing w:after="60"/>
      </w:pPr>
      <w:r>
        <w:rPr>
          <w:rFonts w:ascii="Calibri" w:cs="Calibri" w:eastAsia="Calibri" w:hAnsi="Calibri"/>
          <w:b/>
          <w:bCs/>
          <w:i w:val="false"/>
          <w:iCs w:val="false"/>
          <w:sz w:val="22"/>
          <w:szCs w:val="22"/>
        </w:rPr>
        <w:t xml:space="preserve">Offene Phasen (Einzel- und Partnerarbeit)</w:t>
      </w:r>
    </w:p>
    <w:p>
      <w:pPr>
        <w:spacing w:after="120"/>
      </w:pPr>
      <w:r>
        <w:rPr>
          <w:rFonts w:ascii="Calibri" w:cs="Calibri" w:eastAsia="Calibri" w:hAnsi="Calibri"/>
          <w:b w:val="false"/>
          <w:bCs w:val="false"/>
          <w:i w:val="false"/>
          <w:iCs w:val="false"/>
          <w:sz w:val="22"/>
          <w:szCs w:val="22"/>
        </w:rPr>
        <w:t xml:space="preserve">Die Schülerinnen und Schüler arbeiten den Lernplan in selbst gewählter Reihenfolge ab; Pflichtteile sind markiert. Sie entscheiden selbst, wann sie zum Grammaticus gehen, welchen Weg (A oder B) sie bei der Sicherung wählen und welche Hilfen-Stufe sie bei der Übersetzung benötigen. Die Lehrkraft bewegt sich durch den Raum, beobachtet, gibt Rückmeldung und steht für die Grammaticus-Termine bereit.</w:t>
      </w:r>
    </w:p>
    <w:p>
      <w:pPr>
        <w:spacing w:after="60"/>
      </w:pPr>
      <w:r>
        <w:rPr>
          <w:rFonts w:ascii="Calibri" w:cs="Calibri" w:eastAsia="Calibri" w:hAnsi="Calibri"/>
          <w:b/>
          <w:bCs/>
          <w:i w:val="false"/>
          <w:iCs w:val="false"/>
          <w:sz w:val="22"/>
          <w:szCs w:val="22"/>
        </w:rPr>
        <w:t xml:space="preserve">Abschluss (Plenum, ca. 45 Min.)</w:t>
      </w:r>
    </w:p>
    <w:p>
      <w:pPr>
        <w:spacing w:after="120"/>
      </w:pPr>
      <w:r>
        <w:rPr>
          <w:rFonts w:ascii="Calibri" w:cs="Calibri" w:eastAsia="Calibri" w:hAnsi="Calibri"/>
          <w:b w:val="false"/>
          <w:bCs w:val="false"/>
          <w:i w:val="false"/>
          <w:iCs w:val="false"/>
          <w:sz w:val="22"/>
          <w:szCs w:val="22"/>
        </w:rPr>
        <w:t xml:space="preserve">Bobibu bringt einen „Bericht vom Forum“ mit, in dem sämtliche Täter im Passiv verschwunden sind. Die Klasse muss am übersetzten Text rekonstruieren, wer tatsächlich was getan hat, und die Sätze ins Aktiv zurückverwandeln. Anschließend beantworten alle die Leitfrage schriftlich; mehrere Antworten werden vorgestellt und im Gespräch zusammengeführt.</w:t>
      </w:r>
    </w:p>
    <w:p>
      <w:pPr>
        <w:spacing w:after="120" w:before="320"/>
      </w:pPr>
      <w:r>
        <w:rPr>
          <w:rFonts w:ascii="Calibri" w:cs="Calibri" w:eastAsia="Calibri" w:hAnsi="Calibri"/>
          <w:b/>
          <w:bCs/>
          <w:color w:val="2E74B5"/>
          <w:sz w:val="26"/>
          <w:szCs w:val="26"/>
        </w:rPr>
        <w:t xml:space="preserve">5. Das Grammaticus-System</w:t>
      </w:r>
    </w:p>
    <w:p>
      <w:pPr>
        <w:spacing w:after="120"/>
      </w:pPr>
      <w:r>
        <w:rPr>
          <w:rFonts w:ascii="Calibri" w:cs="Calibri" w:eastAsia="Calibri" w:hAnsi="Calibri"/>
          <w:b w:val="false"/>
          <w:bCs w:val="false"/>
          <w:i w:val="false"/>
          <w:iCs w:val="false"/>
          <w:sz w:val="22"/>
          <w:szCs w:val="22"/>
        </w:rPr>
        <w:t xml:space="preserve">Der Grammaticus ist die Lehrkraft in ihrer Rolle als Lerncoach – kein Frontal-Erklärer, sondern Ansprechpartner an drei festen Meilensteinen:</w:t>
      </w:r>
    </w:p>
    <w:p>
      <w:pPr>
        <w:pStyle w:val="ListParagraph"/>
        <w:numPr>
          <w:ilvl w:val="0"/>
          <w:numId w:val="1"/>
        </w:numPr>
        <w:spacing w:after="80"/>
      </w:pPr>
      <w:r>
        <w:rPr>
          <w:rFonts w:ascii="Calibri" w:cs="Calibri" w:eastAsia="Calibri" w:hAnsi="Calibri"/>
          <w:b/>
          <w:bCs/>
          <w:i w:val="false"/>
          <w:iCs w:val="false"/>
          <w:sz w:val="22"/>
          <w:szCs w:val="22"/>
        </w:rPr>
        <w:t xml:space="preserve">Besuch 1 (nach AB 03a/b): </w:t>
      </w:r>
      <w:r>
        <w:rPr>
          <w:rFonts w:ascii="Calibri" w:cs="Calibri" w:eastAsia="Calibri" w:hAnsi="Calibri"/>
          <w:b w:val="false"/>
          <w:bCs w:val="false"/>
          <w:i w:val="false"/>
          <w:iCs w:val="false"/>
          <w:sz w:val="22"/>
          <w:szCs w:val="22"/>
        </w:rPr>
        <w:t xml:space="preserve">Die selbst formulierte Regel zum Passiv wird vorgestellt – Personalendungen, Tempuszeichen, Infinitiv Passiv. Der Grammaticus gibt Rückmeldung und trägt den Besuch im Lernplan ein.</w:t>
      </w:r>
    </w:p>
    <w:p>
      <w:pPr>
        <w:pStyle w:val="ListParagraph"/>
        <w:numPr>
          <w:ilvl w:val="0"/>
          <w:numId w:val="1"/>
        </w:numPr>
        <w:spacing w:after="80"/>
      </w:pPr>
      <w:r>
        <w:rPr>
          <w:rFonts w:ascii="Calibri" w:cs="Calibri" w:eastAsia="Calibri" w:hAnsi="Calibri"/>
          <w:b/>
          <w:bCs/>
          <w:i w:val="false"/>
          <w:iCs w:val="false"/>
          <w:sz w:val="22"/>
          <w:szCs w:val="22"/>
        </w:rPr>
        <w:t xml:space="preserve">Besuch 2 (nach AB 04): </w:t>
      </w:r>
      <w:r>
        <w:rPr>
          <w:rFonts w:ascii="Calibri" w:cs="Calibri" w:eastAsia="Calibri" w:hAnsi="Calibri"/>
          <w:b w:val="false"/>
          <w:bCs w:val="false"/>
          <w:i w:val="false"/>
          <w:iCs w:val="false"/>
          <w:sz w:val="22"/>
          <w:szCs w:val="22"/>
        </w:rPr>
        <w:t xml:space="preserve">Eine gelöste Übungsaufgabe wird gezeigt. Kontrollfrage: Kann die Schülerin / der Schüler eine Form sicher nach Person, Numerus, Tempus und Genus verbi bestimmen? Für Schnelle gibt es hier eine Zusatzaufgabe.</w:t>
      </w:r>
    </w:p>
    <w:p>
      <w:pPr>
        <w:pStyle w:val="ListParagraph"/>
        <w:numPr>
          <w:ilvl w:val="0"/>
          <w:numId w:val="1"/>
        </w:numPr>
        <w:spacing w:after="80"/>
      </w:pPr>
      <w:r>
        <w:rPr>
          <w:rFonts w:ascii="Calibri" w:cs="Calibri" w:eastAsia="Calibri" w:hAnsi="Calibri"/>
          <w:b/>
          <w:bCs/>
          <w:i w:val="false"/>
          <w:iCs w:val="false"/>
          <w:sz w:val="22"/>
          <w:szCs w:val="22"/>
        </w:rPr>
        <w:t xml:space="preserve">Besuch 3 (nach AB 09): </w:t>
      </w:r>
      <w:r>
        <w:rPr>
          <w:rFonts w:ascii="Calibri" w:cs="Calibri" w:eastAsia="Calibri" w:hAnsi="Calibri"/>
          <w:b w:val="false"/>
          <w:bCs w:val="false"/>
          <w:i w:val="false"/>
          <w:iCs w:val="false"/>
          <w:sz w:val="22"/>
          <w:szCs w:val="22"/>
        </w:rPr>
        <w:t xml:space="preserve">Eine selbst übersetzte Textstelle wird vorgestellt. Besprochen werden die typischen Stolperstellen der Lektion: Passiv nicht mit „wird“ + Futur verwechseln, den </w:t>
      </w:r>
      <w:r>
        <w:rPr>
          <w:rFonts w:ascii="Cambria" w:cs="Cambria" w:eastAsia="Cambria" w:hAnsi="Cambria"/>
          <w:b w:val="false"/>
          <w:bCs w:val="false"/>
          <w:i/>
          <w:iCs/>
          <w:sz w:val="22"/>
          <w:szCs w:val="22"/>
        </w:rPr>
        <w:t xml:space="preserve">ablātīvus auctōris</w:t>
      </w:r>
      <w:r>
        <w:rPr>
          <w:rFonts w:ascii="Calibri" w:cs="Calibri" w:eastAsia="Calibri" w:hAnsi="Calibri"/>
          <w:b w:val="false"/>
          <w:bCs w:val="false"/>
          <w:i w:val="false"/>
          <w:iCs w:val="false"/>
          <w:sz w:val="22"/>
          <w:szCs w:val="22"/>
        </w:rPr>
        <w:t xml:space="preserve"> („von den Nobiles“) erkennen, den Infinitiv Passiv (</w:t>
      </w:r>
      <w:r>
        <w:rPr>
          <w:rFonts w:ascii="Cambria" w:cs="Cambria" w:eastAsia="Cambria" w:hAnsi="Cambria"/>
          <w:b w:val="false"/>
          <w:bCs w:val="false"/>
          <w:i/>
          <w:iCs/>
          <w:sz w:val="22"/>
          <w:szCs w:val="22"/>
        </w:rPr>
        <w:t xml:space="preserve">appellārī</w:t>
      </w:r>
      <w:r>
        <w:rPr>
          <w:rFonts w:ascii="Calibri" w:cs="Calibri" w:eastAsia="Calibri" w:hAnsi="Calibri"/>
          <w:b w:val="false"/>
          <w:bCs w:val="false"/>
          <w:i w:val="false"/>
          <w:iCs w:val="false"/>
          <w:sz w:val="22"/>
          <w:szCs w:val="22"/>
        </w:rPr>
        <w:t xml:space="preserve">) richtig wiedergeben.</w:t>
      </w:r>
    </w:p>
    <w:p>
      <w:pPr>
        <w:spacing w:after="120" w:before="320"/>
      </w:pPr>
      <w:r>
        <w:rPr>
          <w:rFonts w:ascii="Calibri" w:cs="Calibri" w:eastAsia="Calibri" w:hAnsi="Calibri"/>
          <w:b/>
          <w:bCs/>
          <w:color w:val="2E74B5"/>
          <w:sz w:val="26"/>
          <w:szCs w:val="26"/>
        </w:rPr>
        <w:t xml:space="preserve">6. Differenzierung</w:t>
      </w:r>
    </w:p>
    <w:p>
      <w:pPr>
        <w:pStyle w:val="ListParagraph"/>
        <w:numPr>
          <w:ilvl w:val="0"/>
          <w:numId w:val="1"/>
        </w:numPr>
        <w:spacing w:after="80"/>
      </w:pPr>
      <w:r>
        <w:rPr>
          <w:rFonts w:ascii="Calibri" w:cs="Calibri" w:eastAsia="Calibri" w:hAnsi="Calibri"/>
          <w:b/>
          <w:bCs/>
          <w:i w:val="false"/>
          <w:iCs w:val="false"/>
          <w:sz w:val="22"/>
          <w:szCs w:val="22"/>
        </w:rPr>
        <w:t xml:space="preserve">Sicherung der Grammatik in zwei Wegen: </w:t>
      </w:r>
      <w:r>
        <w:rPr>
          <w:rFonts w:ascii="Calibri" w:cs="Calibri" w:eastAsia="Calibri" w:hAnsi="Calibri"/>
          <w:b w:val="false"/>
          <w:bCs w:val="false"/>
          <w:i w:val="false"/>
          <w:iCs w:val="false"/>
          <w:sz w:val="22"/>
          <w:szCs w:val="22"/>
        </w:rPr>
        <w:t xml:space="preserve">AB 03a (selbstständig: Regel und Formentabelle eigenständig erschließen) und AB 03b (mit Lückentext und Beispielen als Stütze).</w:t>
      </w:r>
    </w:p>
    <w:p>
      <w:pPr>
        <w:pStyle w:val="ListParagraph"/>
        <w:numPr>
          <w:ilvl w:val="0"/>
          <w:numId w:val="1"/>
        </w:numPr>
        <w:spacing w:after="80"/>
      </w:pPr>
      <w:r>
        <w:rPr>
          <w:rFonts w:ascii="Calibri" w:cs="Calibri" w:eastAsia="Calibri" w:hAnsi="Calibri"/>
          <w:b/>
          <w:bCs/>
          <w:i w:val="false"/>
          <w:iCs w:val="false"/>
          <w:sz w:val="22"/>
          <w:szCs w:val="22"/>
        </w:rPr>
        <w:t xml:space="preserve">Übersetzung in drei Hilfen-Stufen: </w:t>
      </w:r>
      <w:r>
        <w:rPr>
          <w:rFonts w:ascii="Calibri" w:cs="Calibri" w:eastAsia="Calibri" w:hAnsi="Calibri"/>
          <w:b w:val="false"/>
          <w:bCs w:val="false"/>
          <w:i w:val="false"/>
          <w:iCs w:val="false"/>
          <w:sz w:val="22"/>
          <w:szCs w:val="22"/>
        </w:rPr>
        <w:t xml:space="preserve">ohne Hilfen, mit Vokabelhilfen, mit Vokabel- und Konstruktionshilfen (AB 08).</w:t>
      </w:r>
    </w:p>
    <w:p>
      <w:pPr>
        <w:pStyle w:val="ListParagraph"/>
        <w:numPr>
          <w:ilvl w:val="0"/>
          <w:numId w:val="1"/>
        </w:numPr>
        <w:spacing w:after="80"/>
      </w:pPr>
      <w:r>
        <w:rPr>
          <w:rFonts w:ascii="Calibri" w:cs="Calibri" w:eastAsia="Calibri" w:hAnsi="Calibri"/>
          <w:b/>
          <w:bCs/>
          <w:i w:val="false"/>
          <w:iCs w:val="false"/>
          <w:sz w:val="22"/>
          <w:szCs w:val="22"/>
        </w:rPr>
        <w:t xml:space="preserve">Verständnisaufgaben zur freien Wahl: </w:t>
      </w:r>
      <w:r>
        <w:rPr>
          <w:rFonts w:ascii="Calibri" w:cs="Calibri" w:eastAsia="Calibri" w:hAnsi="Calibri"/>
          <w:b w:val="false"/>
          <w:bCs w:val="false"/>
          <w:i w:val="false"/>
          <w:iCs w:val="false"/>
          <w:sz w:val="22"/>
          <w:szCs w:val="22"/>
        </w:rPr>
        <w:t xml:space="preserve">AB 10a Rednerprofil, AB 10b Wahr/Falsch mit Textbelegen, AB 10c Analyse „Wo verschweigt Gracchus die Täter?“ (anspruchsvollste Variante).</w:t>
      </w:r>
    </w:p>
    <w:p>
      <w:pPr>
        <w:pStyle w:val="ListParagraph"/>
        <w:numPr>
          <w:ilvl w:val="0"/>
          <w:numId w:val="1"/>
        </w:numPr>
        <w:spacing w:after="80"/>
      </w:pPr>
      <w:r>
        <w:rPr>
          <w:rFonts w:ascii="Calibri" w:cs="Calibri" w:eastAsia="Calibri" w:hAnsi="Calibri"/>
          <w:b/>
          <w:bCs/>
          <w:i w:val="false"/>
          <w:iCs w:val="false"/>
          <w:sz w:val="22"/>
          <w:szCs w:val="22"/>
        </w:rPr>
        <w:t xml:space="preserve">Für Schnelle: </w:t>
      </w:r>
      <w:r>
        <w:rPr>
          <w:rFonts w:ascii="Calibri" w:cs="Calibri" w:eastAsia="Calibri" w:hAnsi="Calibri"/>
          <w:b w:val="false"/>
          <w:bCs w:val="false"/>
          <w:i w:val="false"/>
          <w:iCs w:val="false"/>
          <w:sz w:val="22"/>
          <w:szCs w:val="22"/>
        </w:rPr>
        <w:t xml:space="preserve">eine Belohnungsaufgabe mit Rätselcharakter statt eines weiteren Übungsblattes (wird als AB 04b ergänzt).</w:t>
      </w:r>
    </w:p>
    <w:p>
      <w:pPr>
        <w:spacing w:after="120" w:before="320"/>
      </w:pPr>
      <w:r>
        <w:rPr>
          <w:rFonts w:ascii="Calibri" w:cs="Calibri" w:eastAsia="Calibri" w:hAnsi="Calibri"/>
          <w:b/>
          <w:bCs/>
          <w:color w:val="2E74B5"/>
          <w:sz w:val="26"/>
          <w:szCs w:val="26"/>
        </w:rPr>
        <w:t xml:space="preserve">7. Stolperstellen dieser Lektion</w:t>
      </w:r>
    </w:p>
    <w:p>
      <w:pPr>
        <w:spacing w:after="120"/>
      </w:pPr>
      <w:r>
        <w:rPr>
          <w:rFonts w:ascii="Calibri" w:cs="Calibri" w:eastAsia="Calibri" w:hAnsi="Calibri"/>
          <w:b w:val="false"/>
          <w:bCs w:val="false"/>
          <w:i w:val="false"/>
          <w:iCs w:val="false"/>
          <w:sz w:val="22"/>
          <w:szCs w:val="22"/>
        </w:rPr>
        <w:t xml:space="preserve">Die wichtigste Verwechslungsgefahr ist hausgemacht: Im Deutschen bildet </w:t>
      </w:r>
      <w:r>
        <w:rPr>
          <w:rFonts w:ascii="Calibri" w:cs="Calibri" w:eastAsia="Calibri" w:hAnsi="Calibri"/>
          <w:b w:val="false"/>
          <w:bCs w:val="false"/>
          <w:i/>
          <w:iCs/>
          <w:sz w:val="22"/>
          <w:szCs w:val="22"/>
        </w:rPr>
        <w:t xml:space="preserve">werden</w:t>
      </w:r>
      <w:r>
        <w:rPr>
          <w:rFonts w:ascii="Calibri" w:cs="Calibri" w:eastAsia="Calibri" w:hAnsi="Calibri"/>
          <w:b w:val="false"/>
          <w:bCs w:val="false"/>
          <w:i w:val="false"/>
          <w:iCs w:val="false"/>
          <w:sz w:val="22"/>
          <w:szCs w:val="22"/>
        </w:rPr>
        <w:t xml:space="preserve"> sowohl das Futur als auch das Passiv (</w:t>
      </w:r>
      <w:r>
        <w:rPr>
          <w:rFonts w:ascii="Calibri" w:cs="Calibri" w:eastAsia="Calibri" w:hAnsi="Calibri"/>
          <w:b w:val="false"/>
          <w:bCs w:val="false"/>
          <w:i/>
          <w:iCs/>
          <w:sz w:val="22"/>
          <w:szCs w:val="22"/>
        </w:rPr>
        <w:t xml:space="preserve">„Ich werde gelobt werden“</w:t>
      </w:r>
      <w:r>
        <w:rPr>
          <w:rFonts w:ascii="Calibri" w:cs="Calibri" w:eastAsia="Calibri" w:hAnsi="Calibri"/>
          <w:b w:val="false"/>
          <w:bCs w:val="false"/>
          <w:i w:val="false"/>
          <w:iCs w:val="false"/>
          <w:sz w:val="22"/>
          <w:szCs w:val="22"/>
        </w:rPr>
        <w:t xml:space="preserve">). Da die Klasse das Futur aus Lektion 13 kennt, muss dieser Unterschied ausdrücklich thematisiert werden – AB 01 und AB 04 greifen ihn gezielt auf (vgl. SB Übung 5, „Fit für Deutsch I“).</w:t>
      </w:r>
    </w:p>
    <w:p>
      <w:pPr>
        <w:spacing w:after="120"/>
      </w:pPr>
      <w:r>
        <w:rPr>
          <w:rFonts w:ascii="Calibri" w:cs="Calibri" w:eastAsia="Calibri" w:hAnsi="Calibri"/>
          <w:b w:val="false"/>
          <w:bCs w:val="false"/>
          <w:i w:val="false"/>
          <w:iCs w:val="false"/>
          <w:sz w:val="22"/>
          <w:szCs w:val="22"/>
        </w:rPr>
        <w:t xml:space="preserve">Zweite Stolperstelle: Lateinische Passivformen lassen sich im Deutschen auf mehrere Arten wiedergeben (Passiv, </w:t>
      </w:r>
      <w:r>
        <w:rPr>
          <w:rFonts w:ascii="Calibri" w:cs="Calibri" w:eastAsia="Calibri" w:hAnsi="Calibri"/>
          <w:b w:val="false"/>
          <w:bCs w:val="false"/>
          <w:i/>
          <w:iCs/>
          <w:sz w:val="22"/>
          <w:szCs w:val="22"/>
        </w:rPr>
        <w:t xml:space="preserve">man</w:t>
      </w:r>
      <w:r>
        <w:rPr>
          <w:rFonts w:ascii="Calibri" w:cs="Calibri" w:eastAsia="Calibri" w:hAnsi="Calibri"/>
          <w:b w:val="false"/>
          <w:bCs w:val="false"/>
          <w:i w:val="false"/>
          <w:iCs w:val="false"/>
          <w:sz w:val="22"/>
          <w:szCs w:val="22"/>
        </w:rPr>
        <w:t xml:space="preserve">-Konstruktion, reflexiv). Das ist keine Fehlerquelle, sondern eine Chance – SB Übung 6 und D2 (</w:t>
      </w:r>
      <w:r>
        <w:rPr>
          <w:rFonts w:ascii="Cambria" w:cs="Cambria" w:eastAsia="Cambria" w:hAnsi="Cambria"/>
          <w:b w:val="false"/>
          <w:bCs w:val="false"/>
          <w:i/>
          <w:iCs/>
          <w:sz w:val="22"/>
          <w:szCs w:val="22"/>
        </w:rPr>
        <w:t xml:space="preserve">mūtābor</w:t>
      </w:r>
      <w:r>
        <w:rPr>
          <w:rFonts w:ascii="Calibri" w:cs="Calibri" w:eastAsia="Calibri" w:hAnsi="Calibri"/>
          <w:b w:val="false"/>
          <w:bCs w:val="false"/>
          <w:i w:val="false"/>
          <w:iCs w:val="false"/>
          <w:sz w:val="22"/>
          <w:szCs w:val="22"/>
        </w:rPr>
        <w:t xml:space="preserve"> aus „Kalif Storch“) sind dafür ideal und im Lernplan eingebunden.</w:t>
      </w:r>
    </w:p>
    <w:p>
      <w:pPr>
        <w:spacing w:after="120" w:before="320"/>
      </w:pPr>
      <w:r>
        <w:rPr>
          <w:rFonts w:ascii="Calibri" w:cs="Calibri" w:eastAsia="Calibri" w:hAnsi="Calibri"/>
          <w:b/>
          <w:bCs/>
          <w:color w:val="2E74B5"/>
          <w:sz w:val="26"/>
          <w:szCs w:val="26"/>
        </w:rPr>
        <w:t xml:space="preserve">8. Bezüge zum Schülerbuch und Arbeitsheft</w:t>
      </w:r>
    </w:p>
    <w:p>
      <w:pPr>
        <w:spacing w:after="120"/>
      </w:pPr>
      <w:r>
        <w:rPr>
          <w:rFonts w:ascii="Calibri" w:cs="Calibri" w:eastAsia="Calibri" w:hAnsi="Calibri"/>
          <w:b w:val="false"/>
          <w:bCs w:val="false"/>
          <w:i w:val="false"/>
          <w:iCs w:val="false"/>
          <w:sz w:val="22"/>
          <w:szCs w:val="22"/>
        </w:rPr>
        <w:t xml:space="preserve">Schülerbuch S. 108–113: Lektionstext S. 109 („Tiberius Gracchus kämpft für die Armen“, nach Plutarch, 20 Zeilen), Sachinfo S. 110, Übungen 1–10 auf S. 111–112, Differenzierung D1–D5 und Ponticulus auf S. 113. Die Buchübungen sind im Lernplan sinnvoll eingebettet, damit das Lehrwerk mitgenutzt und nicht ersetzt wird.</w:t>
      </w:r>
    </w:p>
    <w:p>
      <w:pPr>
        <w:spacing w:after="120"/>
      </w:pPr>
      <w:r>
        <w:rPr>
          <w:rFonts w:ascii="Calibri" w:cs="Calibri" w:eastAsia="Calibri" w:hAnsi="Calibri"/>
          <w:b w:val="false"/>
          <w:bCs w:val="false"/>
          <w:i w:val="false"/>
          <w:iCs w:val="false"/>
          <w:sz w:val="22"/>
          <w:szCs w:val="22"/>
        </w:rPr>
        <w:t xml:space="preserve">Bereits vorhandenes eigenes Material, das eingebunden werden kann: das Blatt „Übungssätze zum Passiv im Deutschen“ (Zeitungsschlagzeilen, Aktiv-Passiv-Umformung, Artikel „Bombe in Osnabrück“) sowie „Das Passiv (Präsens, Imperfekt, Futur)“ als Merkblatt und „Erste Übungen zum Passiv“.</w:t>
      </w:r>
    </w:p>
    <w:p>
      <w:pPr>
        <w:spacing w:after="120" w:before="320"/>
      </w:pPr>
      <w:r>
        <w:rPr>
          <w:rFonts w:ascii="Calibri" w:cs="Calibri" w:eastAsia="Calibri" w:hAnsi="Calibri"/>
          <w:b/>
          <w:bCs/>
          <w:color w:val="2E74B5"/>
          <w:sz w:val="26"/>
          <w:szCs w:val="26"/>
        </w:rPr>
        <w:t xml:space="preserve">9. Material- und Lösungsübersicht</w:t>
      </w:r>
    </w:p>
    <w:p>
      <w:pPr>
        <w:spacing w:after="120"/>
      </w:pPr>
      <w:r>
        <w:rPr>
          <w:rFonts w:ascii="Calibri" w:cs="Calibri" w:eastAsia="Calibri" w:hAnsi="Calibri"/>
          <w:b w:val="false"/>
          <w:bCs w:val="false"/>
          <w:i w:val="false"/>
          <w:iCs w:val="false"/>
          <w:sz w:val="22"/>
          <w:szCs w:val="22"/>
        </w:rPr>
        <w:t xml:space="preserve">Alle Arbeitsblätter und die zugehörigen Lösungsblätter liegen als separate Dateien vor (Reihenfolge siehe Lernplan). Die Lösungen zu AB 03, AB 04 und AB 10 sind zur Selbstkontrolle gedacht und sollten an einer zentralen Stelle im Klassenraum ausliegen.</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Lektion 15 · Bauern und Adlige  |  Lehrer-Konzept  |  Seite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2026-08-30T20:42:45.904Z</dcterms:created>
  <dcterms:modified xsi:type="dcterms:W3CDTF">2026-08-30T20:42:45.904Z</dcterms:modified>
</cp:coreProperties>
</file>

<file path=docProps/custom.xml><?xml version="1.0" encoding="utf-8"?>
<Properties xmlns="http://schemas.openxmlformats.org/officeDocument/2006/custom-properties" xmlns:vt="http://schemas.openxmlformats.org/officeDocument/2006/docPropsVTypes"/>
</file>