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8"/>
        </w:pBdr>
        <w:spacing w:after="200" w:before="0"/>
      </w:pPr>
      <w:r>
        <w:rPr>
          <w:rFonts w:ascii="Calibri" w:cs="Calibri" w:eastAsia="Calibri" w:hAnsi="Calibri"/>
          <w:b/>
          <w:bCs/>
          <w:i w:val="false"/>
          <w:iCs w:val="false"/>
          <w:caps w:val="false"/>
          <w:color w:val="2E74B5"/>
          <w:sz w:val="20"/>
          <w:szCs w:val="20"/>
        </w:rPr>
        <w:t xml:space="preserve">Lektion 15 · Bauern und Adlige</w:t>
      </w:r>
      <w:r>
        <w:rPr>
          <w:rFonts w:ascii="Calibri" w:cs="Calibri" w:eastAsia="Calibri" w:hAnsi="Calibri"/>
          <w:b w:val="false"/>
          <w:bCs w:val="false"/>
          <w:i w:val="false"/>
          <w:iCs w:val="false"/>
          <w:caps w:val="false"/>
          <w:color w:val="808080"/>
          <w:sz w:val="20"/>
          <w:szCs w:val="20"/>
        </w:rPr>
        <w:t xml:space="preserve">					Lehrer-Konzept · Fassung 2</w:t>
      </w:r>
    </w:p>
    <w:p>
      <w:pPr>
        <w:spacing w:after="120" w:before="0"/>
      </w:pPr>
      <w:r>
        <w:rPr>
          <w:rFonts w:ascii="Calibri" w:cs="Calibri" w:eastAsia="Calibri" w:hAnsi="Calibri"/>
          <w:b/>
          <w:bCs/>
          <w:i w:val="false"/>
          <w:iCs w:val="false"/>
          <w:caps w:val="false"/>
          <w:color w:val="1F3D5C"/>
          <w:sz w:val="34"/>
          <w:szCs w:val="34"/>
        </w:rPr>
        <w:t xml:space="preserve">Offene Einheit zu Lektion 15 – Tiberius Gracchus kämpft für die Armen</w:t>
      </w:r>
    </w:p>
    <w:p>
      <w:pPr>
        <w:spacing w:after="300" w:before="0"/>
      </w:pPr>
      <w:r>
        <w:rPr>
          <w:rFonts w:ascii="Calibri" w:cs="Calibri" w:eastAsia="Calibri" w:hAnsi="Calibri"/>
          <w:b w:val="false"/>
          <w:bCs w:val="false"/>
          <w:i w:val="false"/>
          <w:iCs w:val="false"/>
          <w:caps w:val="false"/>
          <w:color w:val="2E74B5"/>
          <w:sz w:val="22"/>
          <w:szCs w:val="22"/>
        </w:rPr>
        <w:t xml:space="preserve">Grammatikthema: Passiv (Präsens, Imperfekt, Futur; Infinitiv Passiv) · Konzeptdokument für die Lehrkraft</w:t>
      </w:r>
    </w:p>
    <w:p>
      <w:pPr>
        <w:keepNext/>
        <w:spacing w:after="120" w:before="320"/>
      </w:pPr>
      <w:r>
        <w:rPr>
          <w:rFonts w:ascii="Calibri" w:cs="Calibri" w:eastAsia="Calibri" w:hAnsi="Calibri"/>
          <w:b/>
          <w:bCs/>
          <w:i w:val="false"/>
          <w:iCs w:val="false"/>
          <w:caps w:val="false"/>
          <w:color w:val="2E74B5"/>
          <w:sz w:val="26"/>
          <w:szCs w:val="26"/>
        </w:rPr>
        <w:t xml:space="preserve">1. Idee und didaktische Begründung</w:t>
      </w:r>
    </w:p>
    <w:p>
      <w:pPr>
        <w:spacing w:after="120" w:before="0"/>
      </w:pPr>
      <w:r>
        <w:rPr>
          <w:rFonts w:ascii="Calibri" w:cs="Calibri" w:eastAsia="Calibri" w:hAnsi="Calibri"/>
          <w:b w:val="false"/>
          <w:bCs w:val="false"/>
          <w:i w:val="false"/>
          <w:iCs w:val="false"/>
          <w:caps w:val="false"/>
          <w:sz w:val="22"/>
          <w:szCs w:val="22"/>
        </w:rPr>
        <w:t xml:space="preserve">Diese Einheit ersetzt den klassischen Frontalunterricht durch ein offenes Lernformat (Freiarbeit mit Lernplan). Die Schülerinnen und Schüler arbeiten in weitgehend freier Reihenfolge an Arbeitsblättern, die Grammatik, Lektionstext und Sachthema zu einem Lernparcours verbinden. Eine gemeinsame Leitfrage gibt dem Lernen Sinn: Grammatik wird nicht um ihrer selbst willen gelernt, sondern als Werkzeug, um eine inhaltliche Frage zu beantworten.</w:t>
      </w:r>
    </w:p>
    <w:p>
      <w:pPr>
        <w:spacing w:after="120" w:before="0"/>
      </w:pPr>
      <w:r>
        <w:rPr>
          <w:rFonts w:ascii="Calibri" w:cs="Calibri" w:eastAsia="Calibri" w:hAnsi="Calibri"/>
          <w:b w:val="false"/>
          <w:bCs w:val="false"/>
          <w:i w:val="false"/>
          <w:iCs w:val="false"/>
          <w:caps w:val="false"/>
          <w:sz w:val="22"/>
          <w:szCs w:val="22"/>
        </w:rPr>
        <w:t xml:space="preserve">Der Kern der Rede des Tiberius Gracchus ist eine </w:t>
      </w:r>
      <w:r>
        <w:rPr>
          <w:rFonts w:ascii="Calibri" w:cs="Calibri" w:eastAsia="Calibri" w:hAnsi="Calibri"/>
          <w:b/>
          <w:bCs/>
          <w:i w:val="false"/>
          <w:iCs w:val="false"/>
          <w:caps w:val="false"/>
          <w:sz w:val="22"/>
          <w:szCs w:val="22"/>
        </w:rPr>
        <w:t xml:space="preserve">Bestandsaufnahme</w:t>
      </w:r>
      <w:r>
        <w:rPr>
          <w:rFonts w:ascii="Calibri" w:cs="Calibri" w:eastAsia="Calibri" w:hAnsi="Calibri"/>
          <w:b w:val="false"/>
          <w:bCs w:val="false"/>
          <w:i w:val="false"/>
          <w:iCs w:val="false"/>
          <w:caps w:val="false"/>
          <w:sz w:val="22"/>
          <w:szCs w:val="22"/>
        </w:rPr>
        <w:t xml:space="preserve">: Er hält den römischen Bürgern vor Augen, was sie heißen und was sie tatsächlich sind. Getragen wird diese Bestandsaufnahme von einer einzigen Wortfamilie, die dreimal im Passiv erscheint – </w:t>
      </w:r>
      <w:r>
        <w:rPr>
          <w:rFonts w:ascii="Cambria" w:cs="Cambria" w:eastAsia="Cambria" w:hAnsi="Cambria"/>
          <w:b w:val="false"/>
          <w:bCs w:val="false"/>
          <w:i/>
          <w:iCs/>
          <w:caps w:val="false"/>
          <w:sz w:val="22"/>
          <w:szCs w:val="22"/>
        </w:rPr>
        <w:t xml:space="preserve">appellor</w:t>
      </w:r>
      <w:r>
        <w:rPr>
          <w:rFonts w:ascii="Calibri" w:cs="Calibri" w:eastAsia="Calibri" w:hAnsi="Calibri"/>
          <w:b w:val="false"/>
          <w:bCs w:val="false"/>
          <w:i w:val="false"/>
          <w:iCs w:val="false"/>
          <w:caps w:val="false"/>
          <w:sz w:val="22"/>
          <w:szCs w:val="22"/>
        </w:rPr>
        <w:t xml:space="preserve"> (Z. 9), </w:t>
      </w:r>
      <w:r>
        <w:rPr>
          <w:rFonts w:ascii="Cambria" w:cs="Cambria" w:eastAsia="Cambria" w:hAnsi="Cambria"/>
          <w:b w:val="false"/>
          <w:bCs w:val="false"/>
          <w:i/>
          <w:iCs/>
          <w:caps w:val="false"/>
          <w:sz w:val="22"/>
          <w:szCs w:val="22"/>
        </w:rPr>
        <w:t xml:space="preserve">appellārī</w:t>
      </w:r>
      <w:r>
        <w:rPr>
          <w:rFonts w:ascii="Calibri" w:cs="Calibri" w:eastAsia="Calibri" w:hAnsi="Calibri"/>
          <w:b w:val="false"/>
          <w:bCs w:val="false"/>
          <w:i w:val="false"/>
          <w:iCs w:val="false"/>
          <w:caps w:val="false"/>
          <w:sz w:val="22"/>
          <w:szCs w:val="22"/>
        </w:rPr>
        <w:t xml:space="preserve"> (Z. 13), </w:t>
      </w:r>
      <w:r>
        <w:rPr>
          <w:rFonts w:ascii="Cambria" w:cs="Cambria" w:eastAsia="Cambria" w:hAnsi="Cambria"/>
          <w:b w:val="false"/>
          <w:bCs w:val="false"/>
          <w:i/>
          <w:iCs/>
          <w:caps w:val="false"/>
          <w:sz w:val="22"/>
          <w:szCs w:val="22"/>
        </w:rPr>
        <w:t xml:space="preserve">appellāminī</w:t>
      </w:r>
      <w:r>
        <w:rPr>
          <w:rFonts w:ascii="Calibri" w:cs="Calibri" w:eastAsia="Calibri" w:hAnsi="Calibri"/>
          <w:b w:val="false"/>
          <w:bCs w:val="false"/>
          <w:i w:val="false"/>
          <w:iCs w:val="false"/>
          <w:caps w:val="false"/>
          <w:sz w:val="22"/>
          <w:szCs w:val="22"/>
        </w:rPr>
        <w:t xml:space="preserve"> (Z. 14). Titel werden verliehen, nicht erworben; deshalb stehen sie im Passiv.</w:t>
      </w:r>
    </w:p>
    <w:p>
      <w:pPr>
        <w:spacing w:after="120" w:before="0"/>
      </w:pPr>
      <w:r>
        <w:rPr>
          <w:rFonts w:ascii="Calibri" w:cs="Calibri" w:eastAsia="Calibri" w:hAnsi="Calibri"/>
          <w:b w:val="false"/>
          <w:bCs w:val="false"/>
          <w:i w:val="false"/>
          <w:iCs w:val="false"/>
          <w:caps w:val="false"/>
          <w:sz w:val="22"/>
          <w:szCs w:val="22"/>
        </w:rPr>
        <w:t xml:space="preserve">Die Antithese in Z. 14/15 ist der Angelpunkt der Lektion: </w:t>
      </w:r>
      <w:r>
        <w:rPr>
          <w:rFonts w:ascii="Cambria" w:cs="Cambria" w:eastAsia="Cambria" w:hAnsi="Cambria"/>
          <w:b w:val="false"/>
          <w:bCs w:val="false"/>
          <w:i/>
          <w:iCs/>
          <w:caps w:val="false"/>
          <w:sz w:val="22"/>
          <w:szCs w:val="22"/>
        </w:rPr>
        <w:t xml:space="preserve">Appellāminī dominī terrārum … et errātis per terrās.</w:t>
      </w:r>
      <w:r>
        <w:rPr>
          <w:rFonts w:ascii="Calibri" w:cs="Calibri" w:eastAsia="Calibri" w:hAnsi="Calibri"/>
          <w:b w:val="false"/>
          <w:bCs w:val="false"/>
          <w:i w:val="false"/>
          <w:iCs w:val="false"/>
          <w:caps w:val="false"/>
          <w:sz w:val="22"/>
          <w:szCs w:val="22"/>
        </w:rPr>
        <w:t xml:space="preserve"> Herren der </w:t>
      </w:r>
      <w:r>
        <w:rPr>
          <w:rFonts w:ascii="Calibri" w:cs="Calibri" w:eastAsia="Calibri" w:hAnsi="Calibri"/>
          <w:b w:val="false"/>
          <w:bCs w:val="false"/>
          <w:i/>
          <w:iCs/>
          <w:caps w:val="false"/>
          <w:sz w:val="22"/>
          <w:szCs w:val="22"/>
        </w:rPr>
        <w:t xml:space="preserve">Welt</w:t>
      </w:r>
      <w:r>
        <w:rPr>
          <w:rFonts w:ascii="Calibri" w:cs="Calibri" w:eastAsia="Calibri" w:hAnsi="Calibri"/>
          <w:b w:val="false"/>
          <w:bCs w:val="false"/>
          <w:i w:val="false"/>
          <w:iCs w:val="false"/>
          <w:caps w:val="false"/>
          <w:sz w:val="22"/>
          <w:szCs w:val="22"/>
        </w:rPr>
        <w:t xml:space="preserve"> werden sie genannt – und irren durch die </w:t>
      </w:r>
      <w:r>
        <w:rPr>
          <w:rFonts w:ascii="Calibri" w:cs="Calibri" w:eastAsia="Calibri" w:hAnsi="Calibri"/>
          <w:b w:val="false"/>
          <w:bCs w:val="false"/>
          <w:i/>
          <w:iCs/>
          <w:caps w:val="false"/>
          <w:sz w:val="22"/>
          <w:szCs w:val="22"/>
        </w:rPr>
        <w:t xml:space="preserve">Welt</w:t>
      </w:r>
      <w:r>
        <w:rPr>
          <w:rFonts w:ascii="Calibri" w:cs="Calibri" w:eastAsia="Calibri" w:hAnsi="Calibri"/>
          <w:b w:val="false"/>
          <w:bCs w:val="false"/>
          <w:i w:val="false"/>
          <w:iCs w:val="false"/>
          <w:caps w:val="false"/>
          <w:sz w:val="22"/>
          <w:szCs w:val="22"/>
        </w:rPr>
        <w:t xml:space="preserve">. Dasselbe Wort, zweimal, mit entgegengesetzter Bedeutung für ihr Leben.</w:t>
      </w:r>
    </w:p>
    <w:p>
      <w:pPr>
        <w:spacing w:after="120" w:before="0"/>
      </w:pPr>
      <w:r>
        <w:rPr>
          <w:rFonts w:ascii="Calibri" w:cs="Calibri" w:eastAsia="Calibri" w:hAnsi="Calibri"/>
          <w:b w:val="false"/>
          <w:bCs w:val="false"/>
          <w:i w:val="false"/>
          <w:iCs w:val="false"/>
          <w:caps w:val="false"/>
          <w:sz w:val="22"/>
          <w:szCs w:val="22"/>
        </w:rPr>
        <w:t xml:space="preserve">Die Grammatik ist dabei nicht Beiwerk, sondern der Beweis. Alles, was den Bürgern </w:t>
      </w:r>
      <w:r>
        <w:rPr>
          <w:rFonts w:ascii="Calibri" w:cs="Calibri" w:eastAsia="Calibri" w:hAnsi="Calibri"/>
          <w:b w:val="false"/>
          <w:bCs w:val="false"/>
          <w:i/>
          <w:iCs/>
          <w:caps w:val="false"/>
          <w:sz w:val="22"/>
          <w:szCs w:val="22"/>
        </w:rPr>
        <w:t xml:space="preserve">widerfährt</w:t>
      </w:r>
      <w:r>
        <w:rPr>
          <w:rFonts w:ascii="Calibri" w:cs="Calibri" w:eastAsia="Calibri" w:hAnsi="Calibri"/>
          <w:b w:val="false"/>
          <w:bCs w:val="false"/>
          <w:i w:val="false"/>
          <w:iCs w:val="false"/>
          <w:caps w:val="false"/>
          <w:sz w:val="22"/>
          <w:szCs w:val="22"/>
        </w:rPr>
        <w:t xml:space="preserve">, steht im Passiv: </w:t>
      </w:r>
      <w:r>
        <w:rPr>
          <w:rFonts w:ascii="Cambria" w:cs="Cambria" w:eastAsia="Cambria" w:hAnsi="Cambria"/>
          <w:b w:val="false"/>
          <w:bCs w:val="false"/>
          <w:i/>
          <w:iCs/>
          <w:caps w:val="false"/>
          <w:sz w:val="22"/>
          <w:szCs w:val="22"/>
        </w:rPr>
        <w:t xml:space="preserve">neglegimur, nōn audiuntur, pūniuntur, urgentur, occupantur, opprimimur</w:t>
      </w:r>
      <w:r>
        <w:rPr>
          <w:rFonts w:ascii="Calibri" w:cs="Calibri" w:eastAsia="Calibri" w:hAnsi="Calibri"/>
          <w:b w:val="false"/>
          <w:bCs w:val="false"/>
          <w:i w:val="false"/>
          <w:iCs w:val="false"/>
          <w:caps w:val="false"/>
          <w:sz w:val="22"/>
          <w:szCs w:val="22"/>
        </w:rPr>
        <w:t xml:space="preserve">. Was sie selbst noch aktiv tun, ist erschreckend wenig – </w:t>
      </w:r>
      <w:r>
        <w:rPr>
          <w:rFonts w:ascii="Cambria" w:cs="Cambria" w:eastAsia="Cambria" w:hAnsi="Cambria"/>
          <w:b w:val="false"/>
          <w:bCs w:val="false"/>
          <w:i/>
          <w:iCs/>
          <w:caps w:val="false"/>
          <w:sz w:val="22"/>
          <w:szCs w:val="22"/>
        </w:rPr>
        <w:t xml:space="preserve">labōrātis</w:t>
      </w:r>
      <w:r>
        <w:rPr>
          <w:rFonts w:ascii="Calibri" w:cs="Calibri" w:eastAsia="Calibri" w:hAnsi="Calibri"/>
          <w:b w:val="false"/>
          <w:bCs w:val="false"/>
          <w:i w:val="false"/>
          <w:iCs w:val="false"/>
          <w:caps w:val="false"/>
          <w:sz w:val="22"/>
          <w:szCs w:val="22"/>
        </w:rPr>
        <w:t xml:space="preserve"> (ihr hungert), </w:t>
      </w:r>
      <w:r>
        <w:rPr>
          <w:rFonts w:ascii="Cambria" w:cs="Cambria" w:eastAsia="Cambria" w:hAnsi="Cambria"/>
          <w:b w:val="false"/>
          <w:bCs w:val="false"/>
          <w:i/>
          <w:iCs/>
          <w:caps w:val="false"/>
          <w:sz w:val="22"/>
          <w:szCs w:val="22"/>
        </w:rPr>
        <w:t xml:space="preserve">errātis</w:t>
      </w:r>
      <w:r>
        <w:rPr>
          <w:rFonts w:ascii="Calibri" w:cs="Calibri" w:eastAsia="Calibri" w:hAnsi="Calibri"/>
          <w:b w:val="false"/>
          <w:bCs w:val="false"/>
          <w:i w:val="false"/>
          <w:iCs w:val="false"/>
          <w:caps w:val="false"/>
          <w:sz w:val="22"/>
          <w:szCs w:val="22"/>
        </w:rPr>
        <w:t xml:space="preserve"> (ihr irrt umher) und, als Vorwurf, </w:t>
      </w:r>
      <w:r>
        <w:rPr>
          <w:rFonts w:ascii="Cambria" w:cs="Cambria" w:eastAsia="Cambria" w:hAnsi="Cambria"/>
          <w:b w:val="false"/>
          <w:bCs w:val="false"/>
          <w:i/>
          <w:iCs/>
          <w:caps w:val="false"/>
          <w:sz w:val="22"/>
          <w:szCs w:val="22"/>
        </w:rPr>
        <w:t xml:space="preserve">sinitis vōs pellī</w:t>
      </w:r>
      <w:r>
        <w:rPr>
          <w:rFonts w:ascii="Calibri" w:cs="Calibri" w:eastAsia="Calibri" w:hAnsi="Calibri"/>
          <w:b w:val="false"/>
          <w:bCs w:val="false"/>
          <w:i w:val="false"/>
          <w:iCs w:val="false"/>
          <w:caps w:val="false"/>
          <w:sz w:val="22"/>
          <w:szCs w:val="22"/>
        </w:rPr>
        <w:t xml:space="preserve">: ihr lasst es zu. Ihr Ruhm steht im aktiven Perfekt (</w:t>
      </w:r>
      <w:r>
        <w:rPr>
          <w:rFonts w:ascii="Cambria" w:cs="Cambria" w:eastAsia="Cambria" w:hAnsi="Cambria"/>
          <w:b w:val="false"/>
          <w:bCs w:val="false"/>
          <w:i/>
          <w:iCs/>
          <w:caps w:val="false"/>
          <w:sz w:val="22"/>
          <w:szCs w:val="22"/>
        </w:rPr>
        <w:t xml:space="preserve">pugnāvistis, vīcistis</w:t>
      </w:r>
      <w:r>
        <w:rPr>
          <w:rFonts w:ascii="Calibri" w:cs="Calibri" w:eastAsia="Calibri" w:hAnsi="Calibri"/>
          <w:b w:val="false"/>
          <w:bCs w:val="false"/>
          <w:i w:val="false"/>
          <w:iCs w:val="false"/>
          <w:caps w:val="false"/>
          <w:sz w:val="22"/>
          <w:szCs w:val="22"/>
        </w:rPr>
        <w:t xml:space="preserve">), ihr Elend im Passiv Präsens. Wer die Formen unterscheiden kann, kann die Lage der Bauern lesen.</w:t>
      </w:r>
    </w:p>
    <w:p>
      <w:pPr>
        <w:keepNext/>
        <w:spacing w:after="120" w:before="320"/>
      </w:pPr>
      <w:r>
        <w:rPr>
          <w:rFonts w:ascii="Calibri" w:cs="Calibri" w:eastAsia="Calibri" w:hAnsi="Calibri"/>
          <w:b/>
          <w:bCs/>
          <w:i w:val="false"/>
          <w:iCs w:val="false"/>
          <w:caps w:val="false"/>
          <w:color w:val="2E74B5"/>
          <w:sz w:val="26"/>
          <w:szCs w:val="26"/>
        </w:rPr>
        <w:t xml:space="preserve">2. Die Leitfrage</w:t>
      </w:r>
    </w:p>
    <w:tbl>
      <w:tblPr>
        <w:tblW w:type="pct" w:w="100%"/>
        <w:tblBorders>
          <w:top w:val="single" w:color="2E74B5" w:sz="6"/>
          <w:left w:val="single" w:color="2E74B5" w:sz="6"/>
          <w:bottom w:val="single" w:color="2E74B5" w:sz="6"/>
          <w:right w:val="single" w:color="2E74B5" w:sz="6"/>
          <w:insideH w:val="none"/>
          <w:insideV w:val="none"/>
        </w:tblBorders>
      </w:tblPr>
      <w:tblGrid>
        <w:gridCol w:w="100"/>
      </w:tblGrid>
      <w:tr>
        <w:tc>
          <w:tcPr>
            <w:shd w:fill="DCE9F5" w:val="clear"/>
            <w:tcMar>
              <w:top w:type="dxa" w:w="160"/>
              <w:left w:type="dxa" w:w="200"/>
              <w:bottom w:type="dxa" w:w="160"/>
              <w:right w:type="dxa" w:w="200"/>
            </w:tcMar>
          </w:tcPr>
          <w:p>
            <w:pPr>
              <w:spacing w:after="60" w:before="0"/>
              <w:jc w:val="center"/>
            </w:pPr>
            <w:r>
              <w:rPr>
                <w:rFonts w:ascii="Calibri" w:cs="Calibri" w:eastAsia="Calibri" w:hAnsi="Calibri"/>
                <w:b/>
                <w:bCs/>
                <w:i w:val="false"/>
                <w:iCs w:val="false"/>
                <w:caps w:val="false"/>
                <w:color w:val="1F3D5C"/>
                <w:sz w:val="30"/>
                <w:szCs w:val="30"/>
              </w:rPr>
              <w:t xml:space="preserve">„Herren der Welt – oder Fremde im eigenen Land?“</w:t>
            </w:r>
          </w:p>
          <w:p>
            <w:pPr>
              <w:spacing w:after="0" w:before="0"/>
              <w:jc w:val="center"/>
            </w:pPr>
            <w:r>
              <w:rPr>
                <w:rFonts w:ascii="Calibri" w:cs="Calibri" w:eastAsia="Calibri" w:hAnsi="Calibri"/>
                <w:b w:val="false"/>
                <w:bCs w:val="false"/>
                <w:i/>
                <w:iCs/>
                <w:caps w:val="false"/>
                <w:color w:val="1F3D5C"/>
                <w:sz w:val="20"/>
                <w:szCs w:val="20"/>
              </w:rPr>
              <w:t xml:space="preserve">Was die römischen Bürger heißen – und was sie sind</w:t>
            </w:r>
          </w:p>
        </w:tc>
      </w:tr>
    </w:tbl>
    <w:p>
      <w:pPr>
        <w:spacing w:after="160" w:before="0"/>
      </w:pPr>
      <w:r>
        <w:rPr>
          <w:rFonts w:ascii="Calibri" w:cs="Calibri" w:eastAsia="Calibri" w:hAnsi="Calibri"/>
          <w:b w:val="false"/>
          <w:bCs w:val="false"/>
          <w:i w:val="false"/>
          <w:iCs w:val="false"/>
          <w:caps w:val="false"/>
          <w:sz w:val="22"/>
          <w:szCs w:val="22"/>
        </w:rPr>
        <w:t xml:space="preserve"/>
      </w:r>
    </w:p>
    <w:p>
      <w:pPr>
        <w:spacing w:after="120" w:before="0"/>
      </w:pPr>
      <w:r>
        <w:rPr>
          <w:rFonts w:ascii="Calibri" w:cs="Calibri" w:eastAsia="Calibri" w:hAnsi="Calibri"/>
          <w:b/>
          <w:bCs/>
          <w:i w:val="false"/>
          <w:iCs w:val="false"/>
          <w:caps w:val="false"/>
          <w:sz w:val="22"/>
          <w:szCs w:val="22"/>
        </w:rPr>
        <w:t xml:space="preserve">Begründung: </w:t>
      </w:r>
      <w:r>
        <w:rPr>
          <w:rFonts w:ascii="Calibri" w:cs="Calibri" w:eastAsia="Calibri" w:hAnsi="Calibri"/>
          <w:b w:val="false"/>
          <w:bCs w:val="false"/>
          <w:i w:val="false"/>
          <w:iCs w:val="false"/>
          <w:caps w:val="false"/>
          <w:sz w:val="22"/>
          <w:szCs w:val="22"/>
        </w:rPr>
        <w:t xml:space="preserve">Die Frage ist ein echtes Entweder-Oder, das der Text nicht auflöst – er liefert nur Material für beide Seiten. Sie lässt sich erst nach der Übersetzung und der Sachinfo S. 110 begründet beantworten, und sie macht die Bestandsaufnahme zur Arbeitsform: Die Klasse führt über die gesamte Einheit eine zweispaltige Beleg-Tafel („So werden sie genannt“ / „So geht es ihnen“) und füllt sie bei jedem Arbeitsblatt weiter. Am Ende steht kein Aufsatz aus dem Nichts, sondern ein Urteil auf der Grundlage gesammelter Zeilenbelege.</w:t>
      </w:r>
    </w:p>
    <w:p>
      <w:pPr>
        <w:spacing w:after="120" w:before="0"/>
      </w:pPr>
      <w:r>
        <w:rPr>
          <w:rFonts w:ascii="Calibri" w:cs="Calibri" w:eastAsia="Calibri" w:hAnsi="Calibri"/>
          <w:b/>
          <w:bCs/>
          <w:i w:val="false"/>
          <w:iCs w:val="false"/>
          <w:caps w:val="false"/>
          <w:sz w:val="22"/>
          <w:szCs w:val="22"/>
        </w:rPr>
        <w:t xml:space="preserve">Optionale Rahmung: </w:t>
      </w:r>
      <w:r>
        <w:rPr>
          <w:rFonts w:ascii="Calibri" w:cs="Calibri" w:eastAsia="Calibri" w:hAnsi="Calibri"/>
          <w:b w:val="false"/>
          <w:bCs w:val="false"/>
          <w:i w:val="false"/>
          <w:iCs w:val="false"/>
          <w:caps w:val="false"/>
          <w:sz w:val="22"/>
          <w:szCs w:val="22"/>
        </w:rPr>
        <w:t xml:space="preserve">Die römische Bestandsaufnahme hatte einen Namen – den </w:t>
      </w:r>
      <w:r>
        <w:rPr>
          <w:rFonts w:ascii="Cambria" w:cs="Cambria" w:eastAsia="Cambria" w:hAnsi="Cambria"/>
          <w:b w:val="false"/>
          <w:bCs w:val="false"/>
          <w:i/>
          <w:iCs/>
          <w:caps w:val="false"/>
          <w:sz w:val="22"/>
          <w:szCs w:val="22"/>
        </w:rPr>
        <w:t xml:space="preserve">cēnsus</w:t>
      </w:r>
      <w:r>
        <w:rPr>
          <w:rFonts w:ascii="Calibri" w:cs="Calibri" w:eastAsia="Calibri" w:hAnsi="Calibri"/>
          <w:b w:val="false"/>
          <w:bCs w:val="false"/>
          <w:i w:val="false"/>
          <w:iCs w:val="false"/>
          <w:caps w:val="false"/>
          <w:sz w:val="22"/>
          <w:szCs w:val="22"/>
        </w:rPr>
        <w:t xml:space="preserve">. Der Zensor erfasste jeden Bürger nach Besitz und Rang; wer seinen Hof verlor, fiel aus seiner Vermögensklasse. Die Beleg-Tafel kann deshalb als </w:t>
      </w:r>
      <w:r>
        <w:rPr>
          <w:rFonts w:ascii="Cambria" w:cs="Cambria" w:eastAsia="Cambria" w:hAnsi="Cambria"/>
          <w:b w:val="false"/>
          <w:bCs w:val="false"/>
          <w:i/>
          <w:iCs/>
          <w:caps w:val="false"/>
          <w:sz w:val="22"/>
          <w:szCs w:val="22"/>
        </w:rPr>
        <w:t xml:space="preserve">tabula cēnsūs</w:t>
      </w:r>
      <w:r>
        <w:rPr>
          <w:rFonts w:ascii="Calibri" w:cs="Calibri" w:eastAsia="Calibri" w:hAnsi="Calibri"/>
          <w:b w:val="false"/>
          <w:bCs w:val="false"/>
          <w:i w:val="false"/>
          <w:iCs w:val="false"/>
          <w:caps w:val="false"/>
          <w:sz w:val="22"/>
          <w:szCs w:val="22"/>
        </w:rPr>
        <w:t xml:space="preserve"> gestaltet werden. Das ist historisch stimmig und gibt dem Sammeln ein Gefäß – funktioniert aber auch ohne diese Einkleidung.</w:t>
      </w:r>
    </w:p>
    <w:p>
      <w:pPr>
        <w:keepNext/>
        <w:spacing w:after="120" w:before="320"/>
      </w:pPr>
      <w:r>
        <w:rPr>
          <w:rFonts w:ascii="Calibri" w:cs="Calibri" w:eastAsia="Calibri" w:hAnsi="Calibri"/>
          <w:b/>
          <w:bCs/>
          <w:i w:val="false"/>
          <w:iCs w:val="false"/>
          <w:caps w:val="false"/>
          <w:color w:val="2E74B5"/>
          <w:sz w:val="26"/>
          <w:szCs w:val="26"/>
        </w:rPr>
        <w:t xml:space="preserve">3. Der Aufhänger: Chor der Stimmen</w:t>
      </w:r>
    </w:p>
    <w:p>
      <w:pPr>
        <w:spacing w:after="120" w:before="0"/>
      </w:pPr>
      <w:r>
        <w:rPr>
          <w:rFonts w:ascii="Calibri" w:cs="Calibri" w:eastAsia="Calibri" w:hAnsi="Calibri"/>
          <w:b w:val="false"/>
          <w:bCs w:val="false"/>
          <w:i w:val="false"/>
          <w:iCs w:val="false"/>
          <w:caps w:val="false"/>
          <w:sz w:val="22"/>
          <w:szCs w:val="22"/>
        </w:rPr>
        <w:t xml:space="preserve">Die Leitfrage wird nicht mitgeteilt, sondern erzeugt. Jede Schülerin, jeder Schüler erhält eine Karte mit genau einem Satz im Passiv Präsens – „Ich werde übersehen.“, „Über mich wird entschieden.“, „Mir wird alles genommen.“ Die dreißig Sätze werden reihum laut gesprochen, ohne Kommentar. Danach die Einzelaufgabe: Schreibt auf eure Karte, wer euch das antut.</w:t>
      </w:r>
    </w:p>
    <w:p>
      <w:pPr>
        <w:spacing w:after="120" w:before="0"/>
      </w:pPr>
      <w:r>
        <w:rPr>
          <w:rFonts w:ascii="Calibri" w:cs="Calibri" w:eastAsia="Calibri" w:hAnsi="Calibri"/>
          <w:b w:val="false"/>
          <w:bCs w:val="false"/>
          <w:i w:val="false"/>
          <w:iCs w:val="false"/>
          <w:caps w:val="false"/>
          <w:sz w:val="22"/>
          <w:szCs w:val="22"/>
        </w:rPr>
        <w:t xml:space="preserve">Es geht nicht. Kein einziger Satz verrät den Handelnden. Genau darin liegt der Zugriff auf die neue Form – und die Klasse hat das Passiv Präsens dreißigmal gehört, bevor sie seinen Namen erfährt.</w:t>
      </w:r>
    </w:p>
    <w:p>
      <w:pPr>
        <w:spacing w:after="120" w:before="0"/>
      </w:pPr>
      <w:r>
        <w:rPr>
          <w:rFonts w:ascii="Calibri" w:cs="Calibri" w:eastAsia="Calibri" w:hAnsi="Calibri"/>
          <w:b w:val="false"/>
          <w:bCs w:val="false"/>
          <w:i w:val="false"/>
          <w:iCs w:val="false"/>
          <w:caps w:val="false"/>
          <w:sz w:val="22"/>
          <w:szCs w:val="22"/>
        </w:rPr>
        <w:t xml:space="preserve">Dann der Sprung: Diese Klagen sind nicht von heute. Die Praeparatio S. 108 wird aufgelegt – dieselben Sätze, lateinisch, aus dem Mund römischer Bauern. Und der Gegenschlag: Genau diese Menschen wurden dominī terrārum genannt, Herren der Welt. Damit steht die Leitfrage im Raum; das Plakat wird aufgehängt und bleibt die ganze Einheit über sichtbar. Der genaue Ablauf steht auf dem Regieblatt zu AB 01.</w:t>
      </w:r>
    </w:p>
    <w:p>
      <w:pPr>
        <w:spacing w:after="120" w:before="0"/>
      </w:pPr>
      <w:r>
        <w:rPr>
          <w:rFonts w:ascii="Calibri" w:cs="Calibri" w:eastAsia="Calibri" w:hAnsi="Calibri"/>
          <w:b w:val="false"/>
          <w:bCs w:val="false"/>
          <w:i w:val="false"/>
          <w:iCs w:val="false"/>
          <w:caps w:val="false"/>
          <w:sz w:val="22"/>
          <w:szCs w:val="22"/>
        </w:rPr>
        <w:t xml:space="preserve">Erst danach beginnt die Passiv-Einführung. Das entspricht der Logik des Formats: Die Grammatik kommt als Werkzeug, das die Klasse braucht, nicht als Stoff, der abzuarbeiten ist.</w:t>
      </w:r>
    </w:p>
    <w:p>
      <w:pPr>
        <w:keepNext/>
        <w:spacing w:after="120" w:before="320"/>
      </w:pPr>
      <w:r>
        <w:rPr>
          <w:rFonts w:ascii="Calibri" w:cs="Calibri" w:eastAsia="Calibri" w:hAnsi="Calibri"/>
          <w:b/>
          <w:bCs/>
          <w:i w:val="false"/>
          <w:iCs w:val="false"/>
          <w:caps w:val="false"/>
          <w:color w:val="2E74B5"/>
          <w:sz w:val="26"/>
          <w:szCs w:val="26"/>
        </w:rPr>
        <w:t xml:space="preserve">4. Phasenübersicht mit Zeitbedarf</w:t>
      </w:r>
    </w:p>
    <w:tbl>
      <w:tblPr>
        <w:tblW w:type="pct" w:w="100%"/>
        <w:tblBorders>
          <w:top w:val="single" w:color="2E74B5" w:sz="4"/>
          <w:left w:val="single" w:color="2E74B5" w:sz="4"/>
          <w:bottom w:val="single" w:color="2E74B5" w:sz="4"/>
          <w:right w:val="single" w:color="2E74B5" w:sz="4"/>
          <w:insideH w:val="single" w:color="AFC8DE" w:sz="2"/>
          <w:insideV w:val="single" w:color="AFC8DE" w:sz="2"/>
        </w:tblBorders>
      </w:tblPr>
      <w:tblGrid>
        <w:gridCol w:w="2300"/>
        <w:gridCol w:w="3500"/>
        <w:gridCol w:w="2400"/>
        <w:gridCol w:w="1506"/>
      </w:tblGrid>
      <w:tr>
        <w:trPr>
          <w:tblHeader/>
        </w:trPr>
        <w:tc>
          <w:tcPr>
            <w:shd w:fill="DCE9F5" w:val="clear"/>
            <w:tcMar>
              <w:top w:type="dxa" w:w="100"/>
              <w:left w:type="dxa" w:w="140"/>
              <w:bottom w:type="dxa" w:w="100"/>
              <w:right w:type="dxa" w:w="140"/>
            </w:tcMar>
          </w:tcPr>
          <w:p>
            <w:pPr>
              <w:spacing w:after="0" w:before="0"/>
            </w:pPr>
            <w:r>
              <w:rPr>
                <w:rFonts w:ascii="Calibri" w:cs="Calibri" w:eastAsia="Calibri" w:hAnsi="Calibri"/>
                <w:b/>
                <w:bCs/>
                <w:i w:val="false"/>
                <w:iCs w:val="false"/>
                <w:caps w:val="false"/>
                <w:sz w:val="20"/>
                <w:szCs w:val="20"/>
              </w:rPr>
              <w:t xml:space="preserve">Phase</w:t>
            </w:r>
          </w:p>
        </w:tc>
        <w:tc>
          <w:tcPr>
            <w:shd w:fill="DCE9F5" w:val="clear"/>
            <w:tcMar>
              <w:top w:type="dxa" w:w="100"/>
              <w:left w:type="dxa" w:w="140"/>
              <w:bottom w:type="dxa" w:w="100"/>
              <w:right w:type="dxa" w:w="140"/>
            </w:tcMar>
          </w:tcPr>
          <w:p>
            <w:pPr>
              <w:spacing w:after="0" w:before="0"/>
            </w:pPr>
            <w:r>
              <w:rPr>
                <w:rFonts w:ascii="Calibri" w:cs="Calibri" w:eastAsia="Calibri" w:hAnsi="Calibri"/>
                <w:b/>
                <w:bCs/>
                <w:i w:val="false"/>
                <w:iCs w:val="false"/>
                <w:caps w:val="false"/>
                <w:sz w:val="20"/>
                <w:szCs w:val="20"/>
              </w:rPr>
              <w:t xml:space="preserve">Inhalt</w:t>
            </w:r>
          </w:p>
        </w:tc>
        <w:tc>
          <w:tcPr>
            <w:shd w:fill="DCE9F5" w:val="clear"/>
            <w:tcMar>
              <w:top w:type="dxa" w:w="100"/>
              <w:left w:type="dxa" w:w="140"/>
              <w:bottom w:type="dxa" w:w="100"/>
              <w:right w:type="dxa" w:w="140"/>
            </w:tcMar>
          </w:tcPr>
          <w:p>
            <w:pPr>
              <w:spacing w:after="0" w:before="0"/>
            </w:pPr>
            <w:r>
              <w:rPr>
                <w:rFonts w:ascii="Calibri" w:cs="Calibri" w:eastAsia="Calibri" w:hAnsi="Calibri"/>
                <w:b/>
                <w:bCs/>
                <w:i w:val="false"/>
                <w:iCs w:val="false"/>
                <w:caps w:val="false"/>
                <w:sz w:val="20"/>
                <w:szCs w:val="20"/>
              </w:rPr>
              <w:t xml:space="preserve">Materialien</w:t>
            </w:r>
          </w:p>
        </w:tc>
        <w:tc>
          <w:tcPr>
            <w:shd w:fill="DCE9F5" w:val="clear"/>
            <w:tcMar>
              <w:top w:type="dxa" w:w="100"/>
              <w:left w:type="dxa" w:w="140"/>
              <w:bottom w:type="dxa" w:w="100"/>
              <w:right w:type="dxa" w:w="140"/>
            </w:tcMar>
          </w:tcPr>
          <w:p>
            <w:pPr>
              <w:spacing w:after="0" w:before="0"/>
              <w:jc w:val="center"/>
            </w:pPr>
            <w:r>
              <w:rPr>
                <w:rFonts w:ascii="Calibri" w:cs="Calibri" w:eastAsia="Calibri" w:hAnsi="Calibri"/>
                <w:b/>
                <w:bCs/>
                <w:i w:val="false"/>
                <w:iCs w:val="false"/>
                <w:caps w:val="false"/>
                <w:sz w:val="20"/>
                <w:szCs w:val="20"/>
              </w:rPr>
              <w:t xml:space="preserve">Zeit ca.</w:t>
            </w:r>
          </w:p>
        </w:tc>
      </w:tr>
      <w:tr>
        <w:tc>
          <w:tcPr>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1 – Aufhänger und Passiv</w:t>
            </w:r>
          </w:p>
        </w:tc>
        <w:tc>
          <w:tcPr>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Chor der Stimmen (Einstieg, Plenum),</w:t>
            </w:r>
          </w:p>
          <w:p>
            <w:pPr>
              <w:spacing w:after="0" w:before="0"/>
            </w:pPr>
            <w:r>
              <w:rPr>
                <w:rFonts w:ascii="Calibri" w:cs="Calibri" w:eastAsia="Calibri" w:hAnsi="Calibri"/>
                <w:b w:val="false"/>
                <w:bCs w:val="false"/>
                <w:i w:val="false"/>
                <w:iCs w:val="false"/>
                <w:caps w:val="false"/>
                <w:sz w:val="20"/>
                <w:szCs w:val="20"/>
              </w:rPr>
              <w:t xml:space="preserve">Passiv im Deutschen, lateinische Formen</w:t>
            </w:r>
          </w:p>
          <w:p>
            <w:pPr>
              <w:spacing w:after="0" w:before="0"/>
            </w:pPr>
            <w:r>
              <w:rPr>
                <w:rFonts w:ascii="Calibri" w:cs="Calibri" w:eastAsia="Calibri" w:hAnsi="Calibri"/>
                <w:b w:val="false"/>
                <w:bCs w:val="false"/>
                <w:i w:val="false"/>
                <w:iCs w:val="false"/>
                <w:caps w:val="false"/>
                <w:sz w:val="20"/>
                <w:szCs w:val="20"/>
              </w:rPr>
              <w:t xml:space="preserve">entdecken, sichern und üben</w:t>
            </w:r>
          </w:p>
        </w:tc>
        <w:tc>
          <w:tcPr>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AB 01a/b, AB 02,</w:t>
            </w:r>
          </w:p>
          <w:p>
            <w:pPr>
              <w:spacing w:after="0" w:before="0"/>
            </w:pPr>
            <w:r>
              <w:rPr>
                <w:rFonts w:ascii="Calibri" w:cs="Calibri" w:eastAsia="Calibri" w:hAnsi="Calibri"/>
                <w:b w:val="false"/>
                <w:bCs w:val="false"/>
                <w:i w:val="false"/>
                <w:iCs w:val="false"/>
                <w:caps w:val="false"/>
                <w:sz w:val="20"/>
                <w:szCs w:val="20"/>
              </w:rPr>
              <w:t xml:space="preserve">AB 03a/b, AB 04</w:t>
            </w:r>
          </w:p>
          <w:p>
            <w:pPr>
              <w:spacing w:after="0" w:before="0"/>
            </w:pPr>
            <w:r>
              <w:rPr>
                <w:rFonts w:ascii="Calibri" w:cs="Calibri" w:eastAsia="Calibri" w:hAnsi="Calibri"/>
                <w:b w:val="false"/>
                <w:bCs w:val="false"/>
                <w:i w:val="false"/>
                <w:iCs w:val="false"/>
                <w:caps w:val="false"/>
                <w:sz w:val="20"/>
                <w:szCs w:val="20"/>
              </w:rPr>
              <w:t xml:space="preserve">→ Grammaticus 1 + 2</w:t>
            </w:r>
          </w:p>
        </w:tc>
        <w:tc>
          <w:tcPr>
            <w:tcMar>
              <w:top w:type="dxa" w:w="100"/>
              <w:left w:type="dxa" w:w="140"/>
              <w:bottom w:type="dxa" w:w="100"/>
              <w:right w:type="dxa" w:w="140"/>
            </w:tcMar>
          </w:tcPr>
          <w:p>
            <w:pPr>
              <w:spacing w:after="0" w:before="0"/>
              <w:jc w:val="center"/>
            </w:pPr>
            <w:r>
              <w:rPr>
                <w:rFonts w:ascii="Calibri" w:cs="Calibri" w:eastAsia="Calibri" w:hAnsi="Calibri"/>
                <w:b w:val="false"/>
                <w:bCs w:val="false"/>
                <w:i w:val="false"/>
                <w:iCs w:val="false"/>
                <w:caps w:val="false"/>
                <w:sz w:val="20"/>
                <w:szCs w:val="20"/>
              </w:rPr>
              <w:t xml:space="preserve">80–100 Min.</w:t>
            </w:r>
          </w:p>
        </w:tc>
      </w:tr>
      <w:tr>
        <w:tc>
          <w:tcPr>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2 – Vorbereitung der Expedition</w:t>
            </w:r>
          </w:p>
        </w:tc>
        <w:tc>
          <w:tcPr>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Wortschatz aktivieren, Passivformen im</w:t>
            </w:r>
          </w:p>
          <w:p>
            <w:pPr>
              <w:spacing w:after="0" w:before="0"/>
            </w:pPr>
            <w:r>
              <w:rPr>
                <w:rFonts w:ascii="Calibri" w:cs="Calibri" w:eastAsia="Calibri" w:hAnsi="Calibri"/>
                <w:b w:val="false"/>
                <w:bCs w:val="false"/>
                <w:i w:val="false"/>
                <w:iCs w:val="false"/>
                <w:caps w:val="false"/>
                <w:sz w:val="20"/>
                <w:szCs w:val="20"/>
              </w:rPr>
              <w:t xml:space="preserve">Lektionstext aufspüren, Arbeitsplatz ordnen</w:t>
            </w:r>
          </w:p>
        </w:tc>
        <w:tc>
          <w:tcPr>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AB 05, AB 06, AB 07</w:t>
            </w:r>
          </w:p>
        </w:tc>
        <w:tc>
          <w:tcPr>
            <w:tcMar>
              <w:top w:type="dxa" w:w="100"/>
              <w:left w:type="dxa" w:w="140"/>
              <w:bottom w:type="dxa" w:w="100"/>
              <w:right w:type="dxa" w:w="140"/>
            </w:tcMar>
          </w:tcPr>
          <w:p>
            <w:pPr>
              <w:spacing w:after="0" w:before="0"/>
              <w:jc w:val="center"/>
            </w:pPr>
            <w:r>
              <w:rPr>
                <w:rFonts w:ascii="Calibri" w:cs="Calibri" w:eastAsia="Calibri" w:hAnsi="Calibri"/>
                <w:b w:val="false"/>
                <w:bCs w:val="false"/>
                <w:i w:val="false"/>
                <w:iCs w:val="false"/>
                <w:caps w:val="false"/>
                <w:sz w:val="20"/>
                <w:szCs w:val="20"/>
              </w:rPr>
              <w:t xml:space="preserve">35–45 Min.</w:t>
            </w:r>
          </w:p>
        </w:tc>
      </w:tr>
      <w:tr>
        <w:tc>
          <w:tcPr>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3 – Text entschlüsseln</w:t>
            </w:r>
          </w:p>
        </w:tc>
        <w:tc>
          <w:tcPr>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Übersetzen mit selbst gewählter Hilfen-Stufe,</w:t>
            </w:r>
          </w:p>
          <w:p>
            <w:pPr>
              <w:spacing w:after="0" w:before="0"/>
            </w:pPr>
            <w:r>
              <w:rPr>
                <w:rFonts w:ascii="Calibri" w:cs="Calibri" w:eastAsia="Calibri" w:hAnsi="Calibri"/>
                <w:b w:val="false"/>
                <w:bCs w:val="false"/>
                <w:i w:val="false"/>
                <w:iCs w:val="false"/>
                <w:caps w:val="false"/>
                <w:sz w:val="20"/>
                <w:szCs w:val="20"/>
              </w:rPr>
              <w:t xml:space="preserve">Übersetzungen vergleichen</w:t>
            </w:r>
          </w:p>
        </w:tc>
        <w:tc>
          <w:tcPr>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AB 08 (3 Stufen), AB 09</w:t>
            </w:r>
          </w:p>
          <w:p>
            <w:pPr>
              <w:spacing w:after="0" w:before="0"/>
            </w:pPr>
            <w:r>
              <w:rPr>
                <w:rFonts w:ascii="Calibri" w:cs="Calibri" w:eastAsia="Calibri" w:hAnsi="Calibri"/>
                <w:b w:val="false"/>
                <w:bCs w:val="false"/>
                <w:i w:val="false"/>
                <w:iCs w:val="false"/>
                <w:caps w:val="false"/>
                <w:sz w:val="20"/>
                <w:szCs w:val="20"/>
              </w:rPr>
              <w:t xml:space="preserve">→ Grammaticus 3</w:t>
            </w:r>
          </w:p>
        </w:tc>
        <w:tc>
          <w:tcPr>
            <w:tcMar>
              <w:top w:type="dxa" w:w="100"/>
              <w:left w:type="dxa" w:w="140"/>
              <w:bottom w:type="dxa" w:w="100"/>
              <w:right w:type="dxa" w:w="140"/>
            </w:tcMar>
          </w:tcPr>
          <w:p>
            <w:pPr>
              <w:spacing w:after="0" w:before="0"/>
              <w:jc w:val="center"/>
            </w:pPr>
            <w:r>
              <w:rPr>
                <w:rFonts w:ascii="Calibri" w:cs="Calibri" w:eastAsia="Calibri" w:hAnsi="Calibri"/>
                <w:b w:val="false"/>
                <w:bCs w:val="false"/>
                <w:i w:val="false"/>
                <w:iCs w:val="false"/>
                <w:caps w:val="false"/>
                <w:sz w:val="20"/>
                <w:szCs w:val="20"/>
              </w:rPr>
              <w:t xml:space="preserve">60–75 Min.</w:t>
            </w:r>
          </w:p>
        </w:tc>
      </w:tr>
      <w:tr>
        <w:tc>
          <w:tcPr>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4 – Bestandsaufnahme</w:t>
            </w:r>
          </w:p>
        </w:tc>
        <w:tc>
          <w:tcPr>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Belege für beide Spalten sammeln:</w:t>
            </w:r>
          </w:p>
          <w:p>
            <w:pPr>
              <w:spacing w:after="0" w:before="0"/>
            </w:pPr>
            <w:r>
              <w:rPr>
                <w:rFonts w:ascii="Calibri" w:cs="Calibri" w:eastAsia="Calibri" w:hAnsi="Calibri"/>
                <w:b w:val="false"/>
                <w:bCs w:val="false"/>
                <w:i w:val="false"/>
                <w:iCs w:val="false"/>
                <w:caps w:val="false"/>
                <w:sz w:val="20"/>
                <w:szCs w:val="20"/>
              </w:rPr>
              <w:t xml:space="preserve">Rednerprofil, Wahr/Falsch, Titel gegen</w:t>
            </w:r>
          </w:p>
          <w:p>
            <w:pPr>
              <w:spacing w:after="0" w:before="0"/>
            </w:pPr>
            <w:r>
              <w:rPr>
                <w:rFonts w:ascii="Calibri" w:cs="Calibri" w:eastAsia="Calibri" w:hAnsi="Calibri"/>
                <w:b w:val="false"/>
                <w:bCs w:val="false"/>
                <w:i w:val="false"/>
                <w:iCs w:val="false"/>
                <w:caps w:val="false"/>
                <w:sz w:val="20"/>
                <w:szCs w:val="20"/>
              </w:rPr>
              <w:t xml:space="preserve">Wirklichkeit, Sachinfo S. 110</w:t>
            </w:r>
          </w:p>
        </w:tc>
        <w:tc>
          <w:tcPr>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AB 10a/b/c + Lösungen</w:t>
            </w:r>
          </w:p>
        </w:tc>
        <w:tc>
          <w:tcPr>
            <w:tcMar>
              <w:top w:type="dxa" w:w="100"/>
              <w:left w:type="dxa" w:w="140"/>
              <w:bottom w:type="dxa" w:w="100"/>
              <w:right w:type="dxa" w:w="140"/>
            </w:tcMar>
          </w:tcPr>
          <w:p>
            <w:pPr>
              <w:spacing w:after="0" w:before="0"/>
              <w:jc w:val="center"/>
            </w:pPr>
            <w:r>
              <w:rPr>
                <w:rFonts w:ascii="Calibri" w:cs="Calibri" w:eastAsia="Calibri" w:hAnsi="Calibri"/>
                <w:b w:val="false"/>
                <w:bCs w:val="false"/>
                <w:i w:val="false"/>
                <w:iCs w:val="false"/>
                <w:caps w:val="false"/>
                <w:sz w:val="20"/>
                <w:szCs w:val="20"/>
              </w:rPr>
              <w:t xml:space="preserve">40–50 Min.</w:t>
            </w:r>
          </w:p>
        </w:tc>
      </w:tr>
      <w:tr>
        <w:tc>
          <w:tcPr>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5 – Urteil sprechen</w:t>
            </w:r>
          </w:p>
        </w:tc>
        <w:tc>
          <w:tcPr>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Bobibus Einspruch entkräften,</w:t>
            </w:r>
          </w:p>
          <w:p>
            <w:pPr>
              <w:spacing w:after="0" w:before="0"/>
            </w:pPr>
            <w:r>
              <w:rPr>
                <w:rFonts w:ascii="Calibri" w:cs="Calibri" w:eastAsia="Calibri" w:hAnsi="Calibri"/>
                <w:b w:val="false"/>
                <w:bCs w:val="false"/>
                <w:i w:val="false"/>
                <w:iCs w:val="false"/>
                <w:caps w:val="false"/>
                <w:sz w:val="20"/>
                <w:szCs w:val="20"/>
              </w:rPr>
              <w:t xml:space="preserve">Leitfrage begründet beantworten,</w:t>
            </w:r>
          </w:p>
          <w:p>
            <w:pPr>
              <w:spacing w:after="0" w:before="0"/>
            </w:pPr>
            <w:r>
              <w:rPr>
                <w:rFonts w:ascii="Calibri" w:cs="Calibri" w:eastAsia="Calibri" w:hAnsi="Calibri"/>
                <w:b w:val="false"/>
                <w:bCs w:val="false"/>
                <w:i w:val="false"/>
                <w:iCs w:val="false"/>
                <w:caps w:val="false"/>
                <w:sz w:val="20"/>
                <w:szCs w:val="20"/>
              </w:rPr>
              <w:t xml:space="preserve">Lernweg reflektieren</w:t>
            </w:r>
          </w:p>
        </w:tc>
        <w:tc>
          <w:tcPr>
            <w:tcMar>
              <w:top w:type="dxa" w:w="100"/>
              <w:left w:type="dxa" w:w="140"/>
              <w:bottom w:type="dxa" w:w="100"/>
              <w:right w:type="dxa" w:w="140"/>
            </w:tcMar>
          </w:tcPr>
          <w:p>
            <w:pPr>
              <w:spacing w:after="0" w:before="0"/>
            </w:pPr>
            <w:r>
              <w:rPr>
                <w:rFonts w:ascii="Calibri" w:cs="Calibri" w:eastAsia="Calibri" w:hAnsi="Calibri"/>
                <w:b w:val="false"/>
                <w:bCs w:val="false"/>
                <w:i w:val="false"/>
                <w:iCs w:val="false"/>
                <w:caps w:val="false"/>
                <w:sz w:val="20"/>
                <w:szCs w:val="20"/>
              </w:rPr>
              <w:t xml:space="preserve">AB 11, AB 12</w:t>
            </w:r>
          </w:p>
        </w:tc>
        <w:tc>
          <w:tcPr>
            <w:tcMar>
              <w:top w:type="dxa" w:w="100"/>
              <w:left w:type="dxa" w:w="140"/>
              <w:bottom w:type="dxa" w:w="100"/>
              <w:right w:type="dxa" w:w="140"/>
            </w:tcMar>
          </w:tcPr>
          <w:p>
            <w:pPr>
              <w:spacing w:after="0" w:before="0"/>
              <w:jc w:val="center"/>
            </w:pPr>
            <w:r>
              <w:rPr>
                <w:rFonts w:ascii="Calibri" w:cs="Calibri" w:eastAsia="Calibri" w:hAnsi="Calibri"/>
                <w:b w:val="false"/>
                <w:bCs w:val="false"/>
                <w:i w:val="false"/>
                <w:iCs w:val="false"/>
                <w:caps w:val="false"/>
                <w:sz w:val="20"/>
                <w:szCs w:val="20"/>
              </w:rPr>
              <w:t xml:space="preserve">45–55 Min.</w:t>
            </w:r>
          </w:p>
        </w:tc>
      </w:tr>
    </w:tbl>
    <w:p>
      <w:pPr>
        <w:spacing w:after="120" w:before="0"/>
      </w:pPr>
      <w:r>
        <w:rPr>
          <w:rFonts w:ascii="Calibri" w:cs="Calibri" w:eastAsia="Calibri" w:hAnsi="Calibri"/>
          <w:b w:val="false"/>
          <w:bCs w:val="false"/>
          <w:i w:val="false"/>
          <w:iCs w:val="false"/>
          <w:caps w:val="false"/>
          <w:sz w:val="22"/>
          <w:szCs w:val="22"/>
        </w:rPr>
        <w:t xml:space="preserve"/>
      </w:r>
    </w:p>
    <w:p>
      <w:pPr>
        <w:spacing w:after="120" w:before="0"/>
      </w:pPr>
      <w:r>
        <w:rPr>
          <w:rFonts w:ascii="Calibri" w:cs="Calibri" w:eastAsia="Calibri" w:hAnsi="Calibri"/>
          <w:b/>
          <w:bCs/>
          <w:i w:val="false"/>
          <w:iCs w:val="false"/>
          <w:caps w:val="false"/>
          <w:sz w:val="22"/>
          <w:szCs w:val="22"/>
        </w:rPr>
        <w:t xml:space="preserve">Gesamtumfang: etwa 4–5 Doppelstunden</w:t>
      </w:r>
      <w:r>
        <w:rPr>
          <w:rFonts w:ascii="Calibri" w:cs="Calibri" w:eastAsia="Calibri" w:hAnsi="Calibri"/>
          <w:b w:val="false"/>
          <w:bCs w:val="false"/>
          <w:i w:val="false"/>
          <w:iCs w:val="false"/>
          <w:caps w:val="false"/>
          <w:sz w:val="22"/>
          <w:szCs w:val="22"/>
        </w:rPr>
        <w:t xml:space="preserve">, je nach Lerntempo der Gruppe. Da die Schülerinnen und Schüler unterschiedlich schnell arbeiten, sind die Übergänge zwischen den Phasen fließend – das ist gewollt.</w:t>
      </w:r>
    </w:p>
    <w:p>
      <w:pPr>
        <w:keepNext/>
        <w:spacing w:after="120" w:before="320"/>
      </w:pPr>
      <w:r>
        <w:rPr>
          <w:rFonts w:ascii="Calibri" w:cs="Calibri" w:eastAsia="Calibri" w:hAnsi="Calibri"/>
          <w:b/>
          <w:bCs/>
          <w:i w:val="false"/>
          <w:iCs w:val="false"/>
          <w:caps w:val="false"/>
          <w:color w:val="2E74B5"/>
          <w:sz w:val="26"/>
          <w:szCs w:val="26"/>
        </w:rPr>
        <w:t xml:space="preserve">5. Hinweise zur Durchführung</w:t>
      </w:r>
    </w:p>
    <w:p>
      <w:pPr>
        <w:spacing w:after="60" w:before="0"/>
      </w:pPr>
      <w:r>
        <w:rPr>
          <w:rFonts w:ascii="Calibri" w:cs="Calibri" w:eastAsia="Calibri" w:hAnsi="Calibri"/>
          <w:b/>
          <w:bCs/>
          <w:i w:val="false"/>
          <w:iCs w:val="false"/>
          <w:caps w:val="false"/>
          <w:sz w:val="22"/>
          <w:szCs w:val="22"/>
        </w:rPr>
        <w:t xml:space="preserve">Einstieg (Plenum, ca. 15 Min.)</w:t>
      </w:r>
    </w:p>
    <w:p>
      <w:pPr>
        <w:spacing w:after="120" w:before="0"/>
      </w:pPr>
      <w:r>
        <w:rPr>
          <w:rFonts w:ascii="Calibri" w:cs="Calibri" w:eastAsia="Calibri" w:hAnsi="Calibri"/>
          <w:b w:val="false"/>
          <w:bCs w:val="false"/>
          <w:i w:val="false"/>
          <w:iCs w:val="false"/>
          <w:caps w:val="false"/>
          <w:sz w:val="22"/>
          <w:szCs w:val="22"/>
        </w:rPr>
        <w:t xml:space="preserve">Chor der Stimmen wie oben beschrieben, dann Leitfrage aushängen, Lernplan austeilen und das Format kurz erklären. Unmittelbar anschließend die Passiv-Einführung (AB 01b, Passiv im Deutschen).</w:t>
      </w:r>
    </w:p>
    <w:p>
      <w:pPr>
        <w:spacing w:after="60" w:before="0"/>
      </w:pPr>
      <w:r>
        <w:rPr>
          <w:rFonts w:ascii="Calibri" w:cs="Calibri" w:eastAsia="Calibri" w:hAnsi="Calibri"/>
          <w:b/>
          <w:bCs/>
          <w:i w:val="false"/>
          <w:iCs w:val="false"/>
          <w:caps w:val="false"/>
          <w:sz w:val="22"/>
          <w:szCs w:val="22"/>
        </w:rPr>
        <w:t xml:space="preserve">Offene Phasen (Einzel- und Partnerarbeit)</w:t>
      </w:r>
    </w:p>
    <w:p>
      <w:pPr>
        <w:spacing w:after="120" w:before="0"/>
      </w:pPr>
      <w:r>
        <w:rPr>
          <w:rFonts w:ascii="Calibri" w:cs="Calibri" w:eastAsia="Calibri" w:hAnsi="Calibri"/>
          <w:b w:val="false"/>
          <w:bCs w:val="false"/>
          <w:i w:val="false"/>
          <w:iCs w:val="false"/>
          <w:caps w:val="false"/>
          <w:sz w:val="22"/>
          <w:szCs w:val="22"/>
        </w:rPr>
        <w:t xml:space="preserve">Die Klasse arbeitet den Lernplan in selbst gewählter Reihenfolge ab; Pflichtteile sind markiert. Jede und jeder entscheidet selbst, wann der Grammaticus aufgesucht wird, welchen Weg (A oder B) die Sicherung nimmt und welche Hilfen-Stufe die Übersetzung braucht. Die Beleg-Tafel wächst nebenher mit – auf jedem Arbeitsblatt gibt es dafür eine kleine Spalte.</w:t>
      </w:r>
    </w:p>
    <w:p>
      <w:pPr>
        <w:spacing w:after="60" w:before="0"/>
      </w:pPr>
      <w:r>
        <w:rPr>
          <w:rFonts w:ascii="Calibri" w:cs="Calibri" w:eastAsia="Calibri" w:hAnsi="Calibri"/>
          <w:b/>
          <w:bCs/>
          <w:i w:val="false"/>
          <w:iCs w:val="false"/>
          <w:caps w:val="false"/>
          <w:sz w:val="22"/>
          <w:szCs w:val="22"/>
        </w:rPr>
        <w:t xml:space="preserve">Abschluss (Plenum, ca. 45 Min.)</w:t>
      </w:r>
    </w:p>
    <w:p>
      <w:pPr>
        <w:spacing w:after="120" w:before="0"/>
      </w:pPr>
      <w:r>
        <w:rPr>
          <w:rFonts w:ascii="Calibri" w:cs="Calibri" w:eastAsia="Calibri" w:hAnsi="Calibri"/>
          <w:b w:val="false"/>
          <w:bCs w:val="false"/>
          <w:i w:val="false"/>
          <w:iCs w:val="false"/>
          <w:caps w:val="false"/>
          <w:sz w:val="22"/>
          <w:szCs w:val="22"/>
        </w:rPr>
        <w:t xml:space="preserve">Bobibu erhebt Einspruch: Es hat eine Ehrenurkunde vom Forum gefunden, auf der „Herren der Welt“ steht, und hält die Klage der Bauern für übertrieben. Die Klasse muss den Einspruch mit Zeilenbelegen aus dem übersetzten Text entkräften – oder ihm in Teilen recht geben. Danach beantwortet jede und jeder die Leitfrage schriftlich; mehrere Antworten werden vorgestellt und zusammengeführt.</w:t>
      </w:r>
    </w:p>
    <w:p>
      <w:pPr>
        <w:keepNext/>
        <w:spacing w:after="120" w:before="320"/>
      </w:pPr>
      <w:r>
        <w:rPr>
          <w:rFonts w:ascii="Calibri" w:cs="Calibri" w:eastAsia="Calibri" w:hAnsi="Calibri"/>
          <w:b/>
          <w:bCs/>
          <w:i w:val="false"/>
          <w:iCs w:val="false"/>
          <w:caps w:val="false"/>
          <w:color w:val="2E74B5"/>
          <w:sz w:val="26"/>
          <w:szCs w:val="26"/>
        </w:rPr>
        <w:t xml:space="preserve">6. Das Grammaticus-System</w:t>
      </w:r>
    </w:p>
    <w:p>
      <w:pPr>
        <w:spacing w:after="120" w:before="0"/>
      </w:pPr>
      <w:r>
        <w:rPr>
          <w:rFonts w:ascii="Calibri" w:cs="Calibri" w:eastAsia="Calibri" w:hAnsi="Calibri"/>
          <w:b w:val="false"/>
          <w:bCs w:val="false"/>
          <w:i w:val="false"/>
          <w:iCs w:val="false"/>
          <w:caps w:val="false"/>
          <w:sz w:val="22"/>
          <w:szCs w:val="22"/>
        </w:rPr>
        <w:t xml:space="preserve">Der Grammaticus ist die Lehrkraft in ihrer Rolle als Lerncoach – kein Frontal-Erklärer, sondern Ansprechpartner an drei festen Meilensteinen:</w:t>
      </w:r>
    </w:p>
    <w:p>
      <w:pPr>
        <w:pStyle w:val="ListParagraph"/>
        <w:numPr>
          <w:ilvl w:val="0"/>
          <w:numId w:val="1"/>
        </w:numPr>
        <w:spacing w:after="120" w:before="0"/>
      </w:pPr>
      <w:r>
        <w:rPr>
          <w:rFonts w:ascii="Calibri" w:cs="Calibri" w:eastAsia="Calibri" w:hAnsi="Calibri"/>
          <w:b/>
          <w:bCs/>
          <w:i w:val="false"/>
          <w:iCs w:val="false"/>
          <w:caps w:val="false"/>
          <w:sz w:val="22"/>
          <w:szCs w:val="22"/>
        </w:rPr>
        <w:t xml:space="preserve">Besuch 1 (nach AB 03a/b): </w:t>
      </w:r>
      <w:r>
        <w:rPr>
          <w:rFonts w:ascii="Calibri" w:cs="Calibri" w:eastAsia="Calibri" w:hAnsi="Calibri"/>
          <w:b w:val="false"/>
          <w:bCs w:val="false"/>
          <w:i w:val="false"/>
          <w:iCs w:val="false"/>
          <w:caps w:val="false"/>
          <w:sz w:val="22"/>
          <w:szCs w:val="22"/>
        </w:rPr>
        <w:t xml:space="preserve">Die selbst formulierte Regel zum Passiv wird vorgestellt – Personalendungen, Tempuszeichen, Infinitiv Passiv. Rückmeldung und Eintrag in den Lernplan.</w:t>
      </w:r>
    </w:p>
    <w:p>
      <w:pPr>
        <w:pStyle w:val="ListParagraph"/>
        <w:numPr>
          <w:ilvl w:val="0"/>
          <w:numId w:val="1"/>
        </w:numPr>
        <w:spacing w:after="120" w:before="0"/>
      </w:pPr>
      <w:r>
        <w:rPr>
          <w:rFonts w:ascii="Calibri" w:cs="Calibri" w:eastAsia="Calibri" w:hAnsi="Calibri"/>
          <w:b/>
          <w:bCs/>
          <w:i w:val="false"/>
          <w:iCs w:val="false"/>
          <w:caps w:val="false"/>
          <w:sz w:val="22"/>
          <w:szCs w:val="22"/>
        </w:rPr>
        <w:t xml:space="preserve">Besuch 2 (nach AB 04): </w:t>
      </w:r>
      <w:r>
        <w:rPr>
          <w:rFonts w:ascii="Calibri" w:cs="Calibri" w:eastAsia="Calibri" w:hAnsi="Calibri"/>
          <w:b w:val="false"/>
          <w:bCs w:val="false"/>
          <w:i w:val="false"/>
          <w:iCs w:val="false"/>
          <w:caps w:val="false"/>
          <w:sz w:val="22"/>
          <w:szCs w:val="22"/>
        </w:rPr>
        <w:t xml:space="preserve">Eine gelöste Übungsaufgabe wird gezeigt. Kontrollfrage: Wird eine Form sicher nach Person, Numerus, Tempus und Genus verbi bestimmt? Für Schnelle gibt es hier die Belohnungsaufgabe.</w:t>
      </w:r>
    </w:p>
    <w:p>
      <w:pPr>
        <w:pStyle w:val="ListParagraph"/>
        <w:numPr>
          <w:ilvl w:val="0"/>
          <w:numId w:val="1"/>
        </w:numPr>
        <w:spacing w:after="120" w:before="0"/>
      </w:pPr>
      <w:r>
        <w:rPr>
          <w:rFonts w:ascii="Calibri" w:cs="Calibri" w:eastAsia="Calibri" w:hAnsi="Calibri"/>
          <w:b/>
          <w:bCs/>
          <w:i w:val="false"/>
          <w:iCs w:val="false"/>
          <w:caps w:val="false"/>
          <w:sz w:val="22"/>
          <w:szCs w:val="22"/>
        </w:rPr>
        <w:t xml:space="preserve">Besuch 3 (nach AB 09): </w:t>
      </w:r>
      <w:r>
        <w:rPr>
          <w:rFonts w:ascii="Calibri" w:cs="Calibri" w:eastAsia="Calibri" w:hAnsi="Calibri"/>
          <w:b w:val="false"/>
          <w:bCs w:val="false"/>
          <w:i w:val="false"/>
          <w:iCs w:val="false"/>
          <w:caps w:val="false"/>
          <w:sz w:val="22"/>
          <w:szCs w:val="22"/>
        </w:rPr>
        <w:t xml:space="preserve">Eine selbst übersetzte Textstelle wird vorgestellt. Besprochen werden die Stolperstellen: Passiv nicht mit Futur verwechseln, den ablātīvus auctōris erkennen, den Infinitiv Passiv (appellārī) wiedergeben.</w:t>
      </w:r>
    </w:p>
    <w:p>
      <w:pPr>
        <w:keepNext/>
        <w:spacing w:after="120" w:before="320"/>
      </w:pPr>
      <w:r>
        <w:rPr>
          <w:rFonts w:ascii="Calibri" w:cs="Calibri" w:eastAsia="Calibri" w:hAnsi="Calibri"/>
          <w:b/>
          <w:bCs/>
          <w:i w:val="false"/>
          <w:iCs w:val="false"/>
          <w:caps w:val="false"/>
          <w:color w:val="2E74B5"/>
          <w:sz w:val="26"/>
          <w:szCs w:val="26"/>
        </w:rPr>
        <w:t xml:space="preserve">7. Differenzierung</w:t>
      </w:r>
    </w:p>
    <w:p>
      <w:pPr>
        <w:pStyle w:val="ListParagraph"/>
        <w:numPr>
          <w:ilvl w:val="0"/>
          <w:numId w:val="1"/>
        </w:numPr>
        <w:spacing w:after="120" w:before="0"/>
      </w:pPr>
      <w:r>
        <w:rPr>
          <w:rFonts w:ascii="Calibri" w:cs="Calibri" w:eastAsia="Calibri" w:hAnsi="Calibri"/>
          <w:b/>
          <w:bCs/>
          <w:i w:val="false"/>
          <w:iCs w:val="false"/>
          <w:caps w:val="false"/>
          <w:sz w:val="22"/>
          <w:szCs w:val="22"/>
        </w:rPr>
        <w:t xml:space="preserve">Sicherung in zwei Wegen: </w:t>
      </w:r>
      <w:r>
        <w:rPr>
          <w:rFonts w:ascii="Calibri" w:cs="Calibri" w:eastAsia="Calibri" w:hAnsi="Calibri"/>
          <w:b w:val="false"/>
          <w:bCs w:val="false"/>
          <w:i w:val="false"/>
          <w:iCs w:val="false"/>
          <w:caps w:val="false"/>
          <w:sz w:val="22"/>
          <w:szCs w:val="22"/>
        </w:rPr>
        <w:t xml:space="preserve">AB 03a (selbstständig) und AB 03b (mit Lückentext und Beispielen als Stütze).</w:t>
      </w:r>
    </w:p>
    <w:p>
      <w:pPr>
        <w:pStyle w:val="ListParagraph"/>
        <w:numPr>
          <w:ilvl w:val="0"/>
          <w:numId w:val="1"/>
        </w:numPr>
        <w:spacing w:after="120" w:before="0"/>
      </w:pPr>
      <w:r>
        <w:rPr>
          <w:rFonts w:ascii="Calibri" w:cs="Calibri" w:eastAsia="Calibri" w:hAnsi="Calibri"/>
          <w:b/>
          <w:bCs/>
          <w:i w:val="false"/>
          <w:iCs w:val="false"/>
          <w:caps w:val="false"/>
          <w:sz w:val="22"/>
          <w:szCs w:val="22"/>
        </w:rPr>
        <w:t xml:space="preserve">Übersetzung in drei Hilfen-Stufen: </w:t>
      </w:r>
      <w:r>
        <w:rPr>
          <w:rFonts w:ascii="Calibri" w:cs="Calibri" w:eastAsia="Calibri" w:hAnsi="Calibri"/>
          <w:b w:val="false"/>
          <w:bCs w:val="false"/>
          <w:i w:val="false"/>
          <w:iCs w:val="false"/>
          <w:caps w:val="false"/>
          <w:sz w:val="22"/>
          <w:szCs w:val="22"/>
        </w:rPr>
        <w:t xml:space="preserve">ohne Hilfen, mit Vokabelhilfen, mit Vokabel- und Konstruktionshilfen (AB 08).</w:t>
      </w:r>
    </w:p>
    <w:p>
      <w:pPr>
        <w:pStyle w:val="ListParagraph"/>
        <w:numPr>
          <w:ilvl w:val="0"/>
          <w:numId w:val="1"/>
        </w:numPr>
        <w:spacing w:after="120" w:before="0"/>
      </w:pPr>
      <w:r>
        <w:rPr>
          <w:rFonts w:ascii="Calibri" w:cs="Calibri" w:eastAsia="Calibri" w:hAnsi="Calibri"/>
          <w:b/>
          <w:bCs/>
          <w:i w:val="false"/>
          <w:iCs w:val="false"/>
          <w:caps w:val="false"/>
          <w:sz w:val="22"/>
          <w:szCs w:val="22"/>
        </w:rPr>
        <w:t xml:space="preserve">Bestandsaufnahme in drei Zugängen: </w:t>
      </w:r>
      <w:r>
        <w:rPr>
          <w:rFonts w:ascii="Calibri" w:cs="Calibri" w:eastAsia="Calibri" w:hAnsi="Calibri"/>
          <w:b w:val="false"/>
          <w:bCs w:val="false"/>
          <w:i w:val="false"/>
          <w:iCs w:val="false"/>
          <w:caps w:val="false"/>
          <w:sz w:val="22"/>
          <w:szCs w:val="22"/>
        </w:rPr>
        <w:t xml:space="preserve">AB 10a Rednerprofil, AB 10b Wahr/Falsch mit Textbelegen, AB 10c „Titel gegen Wirklichkeit“ (anspruchsvollste Variante, arbeitet direkt an der Antithese Z. 14/15).</w:t>
      </w:r>
    </w:p>
    <w:p>
      <w:pPr>
        <w:pStyle w:val="ListParagraph"/>
        <w:numPr>
          <w:ilvl w:val="0"/>
          <w:numId w:val="1"/>
        </w:numPr>
        <w:spacing w:after="120" w:before="0"/>
      </w:pPr>
      <w:r>
        <w:rPr>
          <w:rFonts w:ascii="Calibri" w:cs="Calibri" w:eastAsia="Calibri" w:hAnsi="Calibri"/>
          <w:b/>
          <w:bCs/>
          <w:i w:val="false"/>
          <w:iCs w:val="false"/>
          <w:caps w:val="false"/>
          <w:sz w:val="22"/>
          <w:szCs w:val="22"/>
        </w:rPr>
        <w:t xml:space="preserve">Für Schnelle: </w:t>
      </w:r>
      <w:r>
        <w:rPr>
          <w:rFonts w:ascii="Calibri" w:cs="Calibri" w:eastAsia="Calibri" w:hAnsi="Calibri"/>
          <w:b w:val="false"/>
          <w:bCs w:val="false"/>
          <w:i w:val="false"/>
          <w:iCs w:val="false"/>
          <w:caps w:val="false"/>
          <w:sz w:val="22"/>
          <w:szCs w:val="22"/>
        </w:rPr>
        <w:t xml:space="preserve">eine Belohnungsaufgabe mit Rätselcharakter statt eines weiteren Übungsblattes (AB 04b).</w:t>
      </w:r>
    </w:p>
    <w:p>
      <w:pPr>
        <w:keepNext/>
        <w:spacing w:after="120" w:before="320"/>
      </w:pPr>
      <w:r>
        <w:rPr>
          <w:rFonts w:ascii="Calibri" w:cs="Calibri" w:eastAsia="Calibri" w:hAnsi="Calibri"/>
          <w:b/>
          <w:bCs/>
          <w:i w:val="false"/>
          <w:iCs w:val="false"/>
          <w:caps w:val="false"/>
          <w:color w:val="2E74B5"/>
          <w:sz w:val="26"/>
          <w:szCs w:val="26"/>
        </w:rPr>
        <w:t xml:space="preserve">8. Stolperstellen dieser Lektion</w:t>
      </w:r>
    </w:p>
    <w:p>
      <w:pPr>
        <w:spacing w:after="120" w:before="0"/>
      </w:pPr>
      <w:r>
        <w:rPr>
          <w:rFonts w:ascii="Calibri" w:cs="Calibri" w:eastAsia="Calibri" w:hAnsi="Calibri"/>
          <w:b w:val="false"/>
          <w:bCs w:val="false"/>
          <w:i w:val="false"/>
          <w:iCs w:val="false"/>
          <w:caps w:val="false"/>
          <w:sz w:val="22"/>
          <w:szCs w:val="22"/>
        </w:rPr>
        <w:t xml:space="preserve">Die wichtigste Verwechslungsgefahr ist hausgemacht: Im Deutschen bildet </w:t>
      </w:r>
      <w:r>
        <w:rPr>
          <w:rFonts w:ascii="Calibri" w:cs="Calibri" w:eastAsia="Calibri" w:hAnsi="Calibri"/>
          <w:b w:val="false"/>
          <w:bCs w:val="false"/>
          <w:i/>
          <w:iCs/>
          <w:caps w:val="false"/>
          <w:sz w:val="22"/>
          <w:szCs w:val="22"/>
        </w:rPr>
        <w:t xml:space="preserve">werden</w:t>
      </w:r>
      <w:r>
        <w:rPr>
          <w:rFonts w:ascii="Calibri" w:cs="Calibri" w:eastAsia="Calibri" w:hAnsi="Calibri"/>
          <w:b w:val="false"/>
          <w:bCs w:val="false"/>
          <w:i w:val="false"/>
          <w:iCs w:val="false"/>
          <w:caps w:val="false"/>
          <w:sz w:val="22"/>
          <w:szCs w:val="22"/>
        </w:rPr>
        <w:t xml:space="preserve"> sowohl das Futur als auch das Passiv („Ich werde gelobt werden“). Da die Klasse das Futur aus Lektion 13 kennt, muss dieser Unterschied ausdrücklich thematisiert werden – AB 01b und AB 04 greifen ihn gezielt auf (vgl. SB Übung 5, „Fit für Deutsch I“).</w:t>
      </w:r>
    </w:p>
    <w:p>
      <w:pPr>
        <w:spacing w:after="120" w:before="0"/>
      </w:pPr>
      <w:r>
        <w:rPr>
          <w:rFonts w:ascii="Calibri" w:cs="Calibri" w:eastAsia="Calibri" w:hAnsi="Calibri"/>
          <w:b w:val="false"/>
          <w:bCs w:val="false"/>
          <w:i w:val="false"/>
          <w:iCs w:val="false"/>
          <w:caps w:val="false"/>
          <w:sz w:val="22"/>
          <w:szCs w:val="22"/>
        </w:rPr>
        <w:t xml:space="preserve">Zweite Stolperstelle: Lateinische Passivformen lassen sich im Deutschen auf mehrere Arten wiedergeben (Passiv, </w:t>
      </w:r>
      <w:r>
        <w:rPr>
          <w:rFonts w:ascii="Calibri" w:cs="Calibri" w:eastAsia="Calibri" w:hAnsi="Calibri"/>
          <w:b w:val="false"/>
          <w:bCs w:val="false"/>
          <w:i/>
          <w:iCs/>
          <w:caps w:val="false"/>
          <w:sz w:val="22"/>
          <w:szCs w:val="22"/>
        </w:rPr>
        <w:t xml:space="preserve">man</w:t>
      </w:r>
      <w:r>
        <w:rPr>
          <w:rFonts w:ascii="Calibri" w:cs="Calibri" w:eastAsia="Calibri" w:hAnsi="Calibri"/>
          <w:b w:val="false"/>
          <w:bCs w:val="false"/>
          <w:i w:val="false"/>
          <w:iCs w:val="false"/>
          <w:caps w:val="false"/>
          <w:sz w:val="22"/>
          <w:szCs w:val="22"/>
        </w:rPr>
        <w:t xml:space="preserve">-Konstruktion, reflexiv). Das ist keine Fehlerquelle, sondern eine Chance – SB Übung 6 und D2 (</w:t>
      </w:r>
      <w:r>
        <w:rPr>
          <w:rFonts w:ascii="Cambria" w:cs="Cambria" w:eastAsia="Cambria" w:hAnsi="Cambria"/>
          <w:b w:val="false"/>
          <w:bCs w:val="false"/>
          <w:i/>
          <w:iCs/>
          <w:caps w:val="false"/>
          <w:sz w:val="22"/>
          <w:szCs w:val="22"/>
        </w:rPr>
        <w:t xml:space="preserve">mūtābor</w:t>
      </w:r>
      <w:r>
        <w:rPr>
          <w:rFonts w:ascii="Calibri" w:cs="Calibri" w:eastAsia="Calibri" w:hAnsi="Calibri"/>
          <w:b w:val="false"/>
          <w:bCs w:val="false"/>
          <w:i w:val="false"/>
          <w:iCs w:val="false"/>
          <w:caps w:val="false"/>
          <w:sz w:val="22"/>
          <w:szCs w:val="22"/>
        </w:rPr>
        <w:t xml:space="preserve"> aus „Kalif Storch“) sind dafür ideal und im Lernplan eingebunden.</w:t>
      </w:r>
    </w:p>
    <w:p>
      <w:pPr>
        <w:spacing w:after="120" w:before="0"/>
      </w:pPr>
      <w:r>
        <w:rPr>
          <w:rFonts w:ascii="Calibri" w:cs="Calibri" w:eastAsia="Calibri" w:hAnsi="Calibri"/>
          <w:b w:val="false"/>
          <w:bCs w:val="false"/>
          <w:i w:val="false"/>
          <w:iCs w:val="false"/>
          <w:caps w:val="false"/>
          <w:sz w:val="22"/>
          <w:szCs w:val="22"/>
        </w:rPr>
        <w:t xml:space="preserve">Dritte Stolperstelle: der </w:t>
      </w:r>
      <w:r>
        <w:rPr>
          <w:rFonts w:ascii="Cambria" w:cs="Cambria" w:eastAsia="Cambria" w:hAnsi="Cambria"/>
          <w:b w:val="false"/>
          <w:bCs w:val="false"/>
          <w:i/>
          <w:iCs/>
          <w:caps w:val="false"/>
          <w:sz w:val="22"/>
          <w:szCs w:val="22"/>
        </w:rPr>
        <w:t xml:space="preserve">ablātīvus auctōris</w:t>
      </w:r>
      <w:r>
        <w:rPr>
          <w:rFonts w:ascii="Calibri" w:cs="Calibri" w:eastAsia="Calibri" w:hAnsi="Calibri"/>
          <w:b w:val="false"/>
          <w:bCs w:val="false"/>
          <w:i w:val="false"/>
          <w:iCs w:val="false"/>
          <w:caps w:val="false"/>
          <w:sz w:val="22"/>
          <w:szCs w:val="22"/>
        </w:rPr>
        <w:t xml:space="preserve">. Gerade weil die Leitfrage danach fragt, wer handelt, muss sicher sitzen, dass </w:t>
      </w:r>
      <w:r>
        <w:rPr>
          <w:rFonts w:ascii="Cambria" w:cs="Cambria" w:eastAsia="Cambria" w:hAnsi="Cambria"/>
          <w:b w:val="false"/>
          <w:bCs w:val="false"/>
          <w:i/>
          <w:iCs/>
          <w:caps w:val="false"/>
          <w:sz w:val="22"/>
          <w:szCs w:val="22"/>
        </w:rPr>
        <w:t xml:space="preserve">ā/ab</w:t>
      </w:r>
      <w:r>
        <w:rPr>
          <w:rFonts w:ascii="Calibri" w:cs="Calibri" w:eastAsia="Calibri" w:hAnsi="Calibri"/>
          <w:b w:val="false"/>
          <w:bCs w:val="false"/>
          <w:i w:val="false"/>
          <w:iCs w:val="false"/>
          <w:caps w:val="false"/>
          <w:sz w:val="22"/>
          <w:szCs w:val="22"/>
        </w:rPr>
        <w:t xml:space="preserve"> + Ablativ den Handelnden nennt (</w:t>
      </w:r>
      <w:r>
        <w:rPr>
          <w:rFonts w:ascii="Cambria" w:cs="Cambria" w:eastAsia="Cambria" w:hAnsi="Cambria"/>
          <w:b w:val="false"/>
          <w:bCs w:val="false"/>
          <w:i/>
          <w:iCs/>
          <w:caps w:val="false"/>
          <w:sz w:val="22"/>
          <w:szCs w:val="22"/>
        </w:rPr>
        <w:t xml:space="preserve">ab hominibus scelestīs</w:t>
      </w:r>
      <w:r>
        <w:rPr>
          <w:rFonts w:ascii="Calibri" w:cs="Calibri" w:eastAsia="Calibri" w:hAnsi="Calibri"/>
          <w:b w:val="false"/>
          <w:bCs w:val="false"/>
          <w:i w:val="false"/>
          <w:iCs w:val="false"/>
          <w:caps w:val="false"/>
          <w:sz w:val="22"/>
          <w:szCs w:val="22"/>
        </w:rPr>
        <w:t xml:space="preserve">, Z. 17) – und dass sein Fehlen eine Aussage ist.</w:t>
      </w:r>
    </w:p>
    <w:p>
      <w:pPr>
        <w:keepNext/>
        <w:spacing w:after="120" w:before="320"/>
      </w:pPr>
      <w:r>
        <w:rPr>
          <w:rFonts w:ascii="Calibri" w:cs="Calibri" w:eastAsia="Calibri" w:hAnsi="Calibri"/>
          <w:b/>
          <w:bCs/>
          <w:i w:val="false"/>
          <w:iCs w:val="false"/>
          <w:caps w:val="false"/>
          <w:color w:val="2E74B5"/>
          <w:sz w:val="26"/>
          <w:szCs w:val="26"/>
        </w:rPr>
        <w:t xml:space="preserve">9. Bezüge zum Schülerbuch und Arbeitsheft</w:t>
      </w:r>
    </w:p>
    <w:p>
      <w:pPr>
        <w:spacing w:after="120" w:before="0"/>
      </w:pPr>
      <w:r>
        <w:rPr>
          <w:rFonts w:ascii="Calibri" w:cs="Calibri" w:eastAsia="Calibri" w:hAnsi="Calibri"/>
          <w:b w:val="false"/>
          <w:bCs w:val="false"/>
          <w:i w:val="false"/>
          <w:iCs w:val="false"/>
          <w:caps w:val="false"/>
          <w:sz w:val="22"/>
          <w:szCs w:val="22"/>
        </w:rPr>
        <w:t xml:space="preserve">Schülerbuch S. 108–113: Praeparatio S. 108 („Es wird viel erwartet“ – im Einstieg verwendet), Lektionstext S. 109 (20 Zeilen, nach Plutarch), Sachinfo S. 110 („Reform oder Stillstand?“), Übungen 1–10 auf S. 111–112, Differenzierung D1–D5 und Ponticulus auf S. 113. Die Buchübungen sind im Lernplan eingebettet, damit das Lehrwerk mitgenutzt und nicht ersetzt wird.</w:t>
      </w:r>
    </w:p>
    <w:p>
      <w:pPr>
        <w:spacing w:after="120" w:before="0"/>
      </w:pPr>
      <w:r>
        <w:rPr>
          <w:rFonts w:ascii="Calibri" w:cs="Calibri" w:eastAsia="Calibri" w:hAnsi="Calibri"/>
          <w:b w:val="false"/>
          <w:bCs w:val="false"/>
          <w:i w:val="false"/>
          <w:iCs w:val="false"/>
          <w:caps w:val="false"/>
          <w:sz w:val="22"/>
          <w:szCs w:val="22"/>
        </w:rPr>
        <w:t xml:space="preserve">Vorhandenes eigenes Material zur Einbindung: „Übungssätze zum Passiv im Deutschen“ (Schlagzeilen, Aktiv-Passiv-Umformung, Artikel „Bombe in Osnabrück“), das Merkblatt „Das Passiv (Präsens, Imperfekt, Futur)“, „Erste Übungen zum Passiv“ sowie die Klett-Kopiervorlage „Die Schüler werden ermahnt!“.</w:t>
      </w:r>
    </w:p>
    <w:p>
      <w:pPr>
        <w:keepNext/>
        <w:spacing w:after="120" w:before="320"/>
      </w:pPr>
      <w:r>
        <w:rPr>
          <w:rFonts w:ascii="Calibri" w:cs="Calibri" w:eastAsia="Calibri" w:hAnsi="Calibri"/>
          <w:b/>
          <w:bCs/>
          <w:i w:val="false"/>
          <w:iCs w:val="false"/>
          <w:caps w:val="false"/>
          <w:color w:val="2E74B5"/>
          <w:sz w:val="26"/>
          <w:szCs w:val="26"/>
        </w:rPr>
        <w:t xml:space="preserve">10. Material- und Lösungsübersicht</w:t>
      </w:r>
    </w:p>
    <w:p>
      <w:pPr>
        <w:spacing w:after="120" w:before="0"/>
      </w:pPr>
      <w:r>
        <w:rPr>
          <w:rFonts w:ascii="Calibri" w:cs="Calibri" w:eastAsia="Calibri" w:hAnsi="Calibri"/>
          <w:b w:val="false"/>
          <w:bCs w:val="false"/>
          <w:i w:val="false"/>
          <w:iCs w:val="false"/>
          <w:caps w:val="false"/>
          <w:sz w:val="22"/>
          <w:szCs w:val="22"/>
        </w:rPr>
        <w:t xml:space="preserve">Alle Arbeitsblätter und Lösungsblätter liegen als separate Dateien vor (Reihenfolge siehe Lernplan). Die Lösungen zu AB 03, AB 04 und AB 10 sind zur Selbstkontrolle gedacht und sollten zentral im Klassenraum ausliegen.</w:t>
      </w:r>
    </w:p>
    <w:sectPr>
      <w:footerReference w:type="default" r:id="rId7"/>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Calibri" w:cs="Calibri" w:eastAsia="Calibri" w:hAnsi="Calibri"/>
        <w:b w:val="false"/>
        <w:bCs w:val="false"/>
        <w:i w:val="false"/>
        <w:iCs w:val="false"/>
        <w:caps w:val="false"/>
        <w:color w:val="808080"/>
        <w:sz w:val="16"/>
        <w:szCs w:val="16"/>
      </w:rPr>
      <w:t xml:space="preserve">Lektion 15 · Bauern und Adlige  |  Lehrer-Konzept (Fassung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2026-08-30T21:13:38.080Z</dcterms:created>
  <dcterms:modified xsi:type="dcterms:W3CDTF">2026-08-30T21:13:38.080Z</dcterms:modified>
</cp:coreProperties>
</file>

<file path=docProps/custom.xml><?xml version="1.0" encoding="utf-8"?>
<Properties xmlns="http://schemas.openxmlformats.org/officeDocument/2006/custom-properties" xmlns:vt="http://schemas.openxmlformats.org/officeDocument/2006/docPropsVTypes"/>
</file>