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8"/>
        </w:pBdr>
        <w:tabs>
          <w:tab w:val="right" w:pos="9706"/>
        </w:tabs>
        <w:spacing w:after="200"/>
      </w:pPr>
      <w:r>
        <w:rPr>
          <w:rFonts w:ascii="Calibri" w:cs="Calibri" w:eastAsia="Calibri" w:hAnsi="Calibri"/>
          <w:b/>
          <w:bCs/>
          <w:i w:val="false"/>
          <w:iCs w:val="false"/>
          <w:color w:val="2E74B5"/>
          <w:sz w:val="20"/>
          <w:szCs w:val="20"/>
        </w:rPr>
        <w:t xml:space="preserve">Lektion 15 · Bauern und Adlige</w:t>
      </w:r>
      <w:r>
        <w:rPr>
          <w:rFonts w:ascii="Calibri" w:cs="Calibri" w:eastAsia="Calibri" w:hAnsi="Calibri"/>
          <w:b w:val="false"/>
          <w:bCs w:val="false"/>
          <w:i w:val="false"/>
          <w:iCs w:val="false"/>
          <w:color w:val="808080"/>
          <w:sz w:val="20"/>
          <w:szCs w:val="20"/>
        </w:rPr>
        <w:t xml:space="preserve">	AB 05 · Lösung</w:t>
      </w:r>
    </w:p>
    <w:p>
      <w:pPr>
        <w:spacing w:after="40" w:before="0"/>
      </w:pPr>
      <w:r>
        <w:rPr>
          <w:rFonts w:ascii="Calibri" w:cs="Calibri" w:eastAsia="Calibri" w:hAnsi="Calibri"/>
          <w:b/>
          <w:bCs/>
          <w:i w:val="false"/>
          <w:iCs w:val="false"/>
          <w:color w:val="1F3D5C"/>
          <w:sz w:val="34"/>
          <w:szCs w:val="34"/>
        </w:rPr>
        <w:t xml:space="preserve">Lösung: Der Text gehört dir schon</w:t>
      </w:r>
    </w:p>
    <w:p>
      <w:pPr>
        <w:spacing w:after="260" w:before="0"/>
      </w:pPr>
      <w:r>
        <w:rPr>
          <w:rFonts w:ascii="Calibri" w:cs="Calibri" w:eastAsia="Calibri" w:hAnsi="Calibri"/>
          <w:b w:val="false"/>
          <w:bCs w:val="false"/>
          <w:i w:val="false"/>
          <w:iCs w:val="false"/>
          <w:color w:val="2E74B5"/>
          <w:sz w:val="21"/>
          <w:szCs w:val="21"/>
        </w:rPr>
        <w:t xml:space="preserve">Manche Wörter passen in zwei Felder – dann zählt die Begründung, nicht das Feld.</w:t>
      </w:r>
    </w:p>
    <w:p>
      <w:pPr>
        <w:spacing w:after="160" w:before="0"/>
      </w:pPr>
      <w:r>
        <w:rPr>
          <w:rFonts w:ascii="Calibri" w:cs="Calibri" w:eastAsia="Calibri" w:hAnsi="Calibri"/>
          <w:b w:val="false"/>
          <w:bCs w:val="false"/>
          <w:i w:val="false"/>
          <w:iCs w:val="false"/>
          <w:sz w:val="22"/>
          <w:szCs w:val="22"/>
        </w:rPr>
        <w:t xml:space="preserve"/>
      </w:r>
    </w:p>
    <w:tbl>
      <w:tblPr>
        <w:tblW w:type="dxa" w:w="9706"/>
        <w:tblBorders>
          <w:top w:val="single" w:color="2E74B5" w:sz="4"/>
          <w:left w:val="single" w:color="2E74B5" w:sz="4"/>
          <w:bottom w:val="single" w:color="2E74B5" w:sz="4"/>
          <w:right w:val="single" w:color="2E74B5" w:sz="4"/>
          <w:insideH w:val="single" w:color="E2E2E2" w:sz="2"/>
          <w:insideV w:val="single" w:color="2E74B5" w:sz="2"/>
        </w:tblBorders>
      </w:tblPr>
      <w:tblGrid>
        <w:gridCol w:w="3235"/>
        <w:gridCol w:w="3235"/>
        <w:gridCol w:w="3236"/>
      </w:tblGrid>
      <w:tr>
        <w:trPr>
          <w:tblHeader/>
        </w:trPr>
        <w:tc>
          <w:tcPr>
            <w:tcW w:type="dxa" w:w="3235"/>
            <w:shd w:fill="DCE9F5" w:val="clear"/>
            <w:tcMar>
              <w:top w:type="dxa" w:w="100"/>
              <w:left w:type="dxa" w:w="120"/>
              <w:bottom w:type="dxa" w:w="100"/>
              <w:right w:type="dxa" w:w="120"/>
            </w:tcMar>
          </w:tcPr>
          <w:p>
            <w:pPr>
              <w:spacing w:after="0" w:before="0"/>
            </w:pPr>
            <w:r>
              <w:rPr>
                <w:rFonts w:ascii="Calibri" w:cs="Calibri" w:eastAsia="Calibri" w:hAnsi="Calibri"/>
                <w:b/>
                <w:bCs/>
                <w:i w:val="false"/>
                <w:iCs w:val="false"/>
                <w:color w:val="1F3D5C"/>
                <w:sz w:val="21"/>
                <w:szCs w:val="21"/>
              </w:rPr>
              <w:t xml:space="preserve">Reden und Zuhören  (8)</w:t>
            </w:r>
          </w:p>
        </w:tc>
        <w:tc>
          <w:tcPr>
            <w:tcW w:type="dxa" w:w="3235"/>
            <w:shd w:fill="DCE9F5" w:val="clear"/>
            <w:tcMar>
              <w:top w:type="dxa" w:w="100"/>
              <w:left w:type="dxa" w:w="120"/>
              <w:bottom w:type="dxa" w:w="100"/>
              <w:right w:type="dxa" w:w="120"/>
            </w:tcMar>
          </w:tcPr>
          <w:p>
            <w:pPr>
              <w:spacing w:after="0" w:before="0"/>
            </w:pPr>
            <w:r>
              <w:rPr>
                <w:rFonts w:ascii="Calibri" w:cs="Calibri" w:eastAsia="Calibri" w:hAnsi="Calibri"/>
                <w:b/>
                <w:bCs/>
                <w:i w:val="false"/>
                <w:iCs w:val="false"/>
                <w:color w:val="1F3D5C"/>
                <w:sz w:val="21"/>
                <w:szCs w:val="21"/>
              </w:rPr>
              <w:t xml:space="preserve">Kampf, Heimat, Ehre  (4)</w:t>
            </w:r>
          </w:p>
        </w:tc>
        <w:tc>
          <w:tcPr>
            <w:tcW w:type="dxa" w:w="3236"/>
            <w:shd w:fill="DCE9F5" w:val="clear"/>
            <w:tcMar>
              <w:top w:type="dxa" w:w="100"/>
              <w:left w:type="dxa" w:w="120"/>
              <w:bottom w:type="dxa" w:w="100"/>
              <w:right w:type="dxa" w:w="120"/>
            </w:tcMar>
          </w:tcPr>
          <w:p>
            <w:pPr>
              <w:spacing w:after="0" w:before="0"/>
            </w:pPr>
            <w:r>
              <w:rPr>
                <w:rFonts w:ascii="Calibri" w:cs="Calibri" w:eastAsia="Calibri" w:hAnsi="Calibri"/>
                <w:b/>
                <w:bCs/>
                <w:i w:val="false"/>
                <w:iCs w:val="false"/>
                <w:color w:val="1F3D5C"/>
                <w:sz w:val="21"/>
                <w:szCs w:val="21"/>
              </w:rPr>
              <w:t xml:space="preserve">Not, Unrecht, Verlust  (8)</w:t>
            </w:r>
          </w:p>
        </w:tc>
      </w:tr>
      <w:tr>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inquit</w:t>
            </w:r>
            <w:r>
              <w:rPr>
                <w:rFonts w:ascii="Calibri" w:cs="Calibri" w:eastAsia="Calibri" w:hAnsi="Calibri"/>
                <w:b w:val="false"/>
                <w:bCs w:val="false"/>
                <w:i w:val="false"/>
                <w:iCs w:val="false"/>
                <w:color w:val="404040"/>
                <w:sz w:val="18"/>
                <w:szCs w:val="18"/>
              </w:rPr>
              <w:t xml:space="preserve">  er/sie sagt</w:t>
            </w:r>
          </w:p>
        </w:tc>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pūgnāre</w:t>
            </w:r>
            <w:r>
              <w:rPr>
                <w:rFonts w:ascii="Calibri" w:cs="Calibri" w:eastAsia="Calibri" w:hAnsi="Calibri"/>
                <w:b w:val="false"/>
                <w:bCs w:val="false"/>
                <w:i w:val="false"/>
                <w:iCs w:val="false"/>
                <w:color w:val="404040"/>
                <w:sz w:val="18"/>
                <w:szCs w:val="18"/>
              </w:rPr>
              <w:t xml:space="preserve">  kämpfen</w:t>
            </w:r>
          </w:p>
        </w:tc>
        <w:tc>
          <w:tcPr>
            <w:tcW w:type="dxa" w:w="3236"/>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famēs</w:t>
            </w:r>
            <w:r>
              <w:rPr>
                <w:rFonts w:ascii="Calibri" w:cs="Calibri" w:eastAsia="Calibri" w:hAnsi="Calibri"/>
                <w:b w:val="false"/>
                <w:bCs w:val="false"/>
                <w:i w:val="false"/>
                <w:iCs w:val="false"/>
                <w:color w:val="404040"/>
                <w:sz w:val="18"/>
                <w:szCs w:val="18"/>
              </w:rPr>
              <w:t xml:space="preserve">  der Hunger</w:t>
            </w:r>
          </w:p>
        </w:tc>
      </w:tr>
      <w:tr>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audīre</w:t>
            </w:r>
            <w:r>
              <w:rPr>
                <w:rFonts w:ascii="Calibri" w:cs="Calibri" w:eastAsia="Calibri" w:hAnsi="Calibri"/>
                <w:b w:val="false"/>
                <w:bCs w:val="false"/>
                <w:i w:val="false"/>
                <w:iCs w:val="false"/>
                <w:color w:val="404040"/>
                <w:sz w:val="18"/>
                <w:szCs w:val="18"/>
              </w:rPr>
              <w:t xml:space="preserve">  hören</w:t>
            </w:r>
          </w:p>
        </w:tc>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vincere</w:t>
            </w:r>
            <w:r>
              <w:rPr>
                <w:rFonts w:ascii="Calibri" w:cs="Calibri" w:eastAsia="Calibri" w:hAnsi="Calibri"/>
                <w:b w:val="false"/>
                <w:bCs w:val="false"/>
                <w:i w:val="false"/>
                <w:iCs w:val="false"/>
                <w:color w:val="404040"/>
                <w:sz w:val="18"/>
                <w:szCs w:val="18"/>
              </w:rPr>
              <w:t xml:space="preserve">  siegen</w:t>
            </w:r>
          </w:p>
        </w:tc>
        <w:tc>
          <w:tcPr>
            <w:tcW w:type="dxa" w:w="3236"/>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nihil</w:t>
            </w:r>
            <w:r>
              <w:rPr>
                <w:rFonts w:ascii="Calibri" w:cs="Calibri" w:eastAsia="Calibri" w:hAnsi="Calibri"/>
                <w:b w:val="false"/>
                <w:bCs w:val="false"/>
                <w:i w:val="false"/>
                <w:iCs w:val="false"/>
                <w:color w:val="404040"/>
                <w:sz w:val="18"/>
                <w:szCs w:val="18"/>
              </w:rPr>
              <w:t xml:space="preserve">  nichts</w:t>
            </w:r>
          </w:p>
        </w:tc>
      </w:tr>
      <w:tr>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clāmāre</w:t>
            </w:r>
            <w:r>
              <w:rPr>
                <w:rFonts w:ascii="Calibri" w:cs="Calibri" w:eastAsia="Calibri" w:hAnsi="Calibri"/>
                <w:b w:val="false"/>
                <w:bCs w:val="false"/>
                <w:i w:val="false"/>
                <w:iCs w:val="false"/>
                <w:color w:val="404040"/>
                <w:sz w:val="18"/>
                <w:szCs w:val="18"/>
              </w:rPr>
              <w:t xml:space="preserve">  schreien</w:t>
            </w:r>
          </w:p>
        </w:tc>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patria</w:t>
            </w:r>
            <w:r>
              <w:rPr>
                <w:rFonts w:ascii="Calibri" w:cs="Calibri" w:eastAsia="Calibri" w:hAnsi="Calibri"/>
                <w:b w:val="false"/>
                <w:bCs w:val="false"/>
                <w:i w:val="false"/>
                <w:iCs w:val="false"/>
                <w:color w:val="404040"/>
                <w:sz w:val="18"/>
                <w:szCs w:val="18"/>
              </w:rPr>
              <w:t xml:space="preserve">  die Heimat</w:t>
            </w:r>
          </w:p>
        </w:tc>
        <w:tc>
          <w:tcPr>
            <w:tcW w:type="dxa" w:w="3236"/>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errāre</w:t>
            </w:r>
            <w:r>
              <w:rPr>
                <w:rFonts w:ascii="Calibri" w:cs="Calibri" w:eastAsia="Calibri" w:hAnsi="Calibri"/>
                <w:b w:val="false"/>
                <w:bCs w:val="false"/>
                <w:i w:val="false"/>
                <w:iCs w:val="false"/>
                <w:color w:val="404040"/>
                <w:sz w:val="18"/>
                <w:szCs w:val="18"/>
              </w:rPr>
              <w:t xml:space="preserve">  umherirren</w:t>
            </w:r>
          </w:p>
        </w:tc>
      </w:tr>
      <w:tr>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clāmor</w:t>
            </w:r>
            <w:r>
              <w:rPr>
                <w:rFonts w:ascii="Calibri" w:cs="Calibri" w:eastAsia="Calibri" w:hAnsi="Calibri"/>
                <w:b w:val="false"/>
                <w:bCs w:val="false"/>
                <w:i w:val="false"/>
                <w:iCs w:val="false"/>
                <w:color w:val="404040"/>
                <w:sz w:val="18"/>
                <w:szCs w:val="18"/>
              </w:rPr>
              <w:t xml:space="preserve">  das Geschrei</w:t>
            </w:r>
          </w:p>
        </w:tc>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Rōmānus</w:t>
            </w:r>
            <w:r>
              <w:rPr>
                <w:rFonts w:ascii="Calibri" w:cs="Calibri" w:eastAsia="Calibri" w:hAnsi="Calibri"/>
                <w:b w:val="false"/>
                <w:bCs w:val="false"/>
                <w:i w:val="false"/>
                <w:iCs w:val="false"/>
                <w:color w:val="404040"/>
                <w:sz w:val="18"/>
                <w:szCs w:val="18"/>
              </w:rPr>
              <w:t xml:space="preserve">  römisch, der Römer</w:t>
            </w:r>
          </w:p>
        </w:tc>
        <w:tc>
          <w:tcPr>
            <w:tcW w:type="dxa" w:w="3236"/>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occupāre</w:t>
            </w:r>
            <w:r>
              <w:rPr>
                <w:rFonts w:ascii="Calibri" w:cs="Calibri" w:eastAsia="Calibri" w:hAnsi="Calibri"/>
                <w:b w:val="false"/>
                <w:bCs w:val="false"/>
                <w:i w:val="false"/>
                <w:iCs w:val="false"/>
                <w:color w:val="404040"/>
                <w:sz w:val="18"/>
                <w:szCs w:val="18"/>
              </w:rPr>
              <w:t xml:space="preserve">  besetzen</w:t>
            </w:r>
          </w:p>
        </w:tc>
      </w:tr>
      <w:tr>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respondēre</w:t>
            </w:r>
            <w:r>
              <w:rPr>
                <w:rFonts w:ascii="Calibri" w:cs="Calibri" w:eastAsia="Calibri" w:hAnsi="Calibri"/>
                <w:b w:val="false"/>
                <w:bCs w:val="false"/>
                <w:i w:val="false"/>
                <w:iCs w:val="false"/>
                <w:color w:val="404040"/>
                <w:sz w:val="18"/>
                <w:szCs w:val="18"/>
              </w:rPr>
              <w:t xml:space="preserve">  antworten</w:t>
            </w:r>
          </w:p>
        </w:tc>
        <w:tc>
          <w:tcPr>
            <w:tcW w:type="dxa" w:w="3235"/>
            <w:tcMar>
              <w:top w:type="dxa" w:w="40"/>
              <w:left w:type="dxa" w:w="120"/>
              <w:bottom w:type="dxa" w:w="40"/>
              <w:right w:type="dxa" w:w="120"/>
            </w:tcMar>
          </w:tcPr>
          <w:p>
            <w:pPr>
              <w:spacing w:after="0" w:before="0"/>
            </w:pPr>
            <w:r>
              <w:rPr>
                <w:rFonts w:ascii="Calibri" w:cs="Calibri" w:eastAsia="Calibri" w:hAnsi="Calibri"/>
                <w:b w:val="false"/>
                <w:bCs w:val="false"/>
                <w:i w:val="false"/>
                <w:iCs w:val="false"/>
                <w:sz w:val="22"/>
                <w:szCs w:val="22"/>
              </w:rPr>
              <w:t xml:space="preserve"/>
            </w:r>
          </w:p>
        </w:tc>
        <w:tc>
          <w:tcPr>
            <w:tcW w:type="dxa" w:w="3236"/>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pūnīre</w:t>
            </w:r>
            <w:r>
              <w:rPr>
                <w:rFonts w:ascii="Calibri" w:cs="Calibri" w:eastAsia="Calibri" w:hAnsi="Calibri"/>
                <w:b w:val="false"/>
                <w:bCs w:val="false"/>
                <w:i w:val="false"/>
                <w:iCs w:val="false"/>
                <w:color w:val="404040"/>
                <w:sz w:val="18"/>
                <w:szCs w:val="18"/>
              </w:rPr>
              <w:t xml:space="preserve">  bestrafen</w:t>
            </w:r>
          </w:p>
        </w:tc>
      </w:tr>
      <w:tr>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tacēre</w:t>
            </w:r>
            <w:r>
              <w:rPr>
                <w:rFonts w:ascii="Calibri" w:cs="Calibri" w:eastAsia="Calibri" w:hAnsi="Calibri"/>
                <w:b w:val="false"/>
                <w:bCs w:val="false"/>
                <w:i w:val="false"/>
                <w:iCs w:val="false"/>
                <w:color w:val="404040"/>
                <w:sz w:val="18"/>
                <w:szCs w:val="18"/>
              </w:rPr>
              <w:t xml:space="preserve">  schweigen</w:t>
            </w:r>
          </w:p>
        </w:tc>
        <w:tc>
          <w:tcPr>
            <w:tcW w:type="dxa" w:w="3235"/>
            <w:tcMar>
              <w:top w:type="dxa" w:w="40"/>
              <w:left w:type="dxa" w:w="120"/>
              <w:bottom w:type="dxa" w:w="40"/>
              <w:right w:type="dxa" w:w="120"/>
            </w:tcMar>
          </w:tcPr>
          <w:p>
            <w:pPr>
              <w:spacing w:after="0" w:before="0"/>
            </w:pPr>
            <w:r>
              <w:rPr>
                <w:rFonts w:ascii="Calibri" w:cs="Calibri" w:eastAsia="Calibri" w:hAnsi="Calibri"/>
                <w:b w:val="false"/>
                <w:bCs w:val="false"/>
                <w:i w:val="false"/>
                <w:iCs w:val="false"/>
                <w:sz w:val="22"/>
                <w:szCs w:val="22"/>
              </w:rPr>
              <w:t xml:space="preserve"/>
            </w:r>
          </w:p>
        </w:tc>
        <w:tc>
          <w:tcPr>
            <w:tcW w:type="dxa" w:w="3236"/>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scelestus</w:t>
            </w:r>
            <w:r>
              <w:rPr>
                <w:rFonts w:ascii="Calibri" w:cs="Calibri" w:eastAsia="Calibri" w:hAnsi="Calibri"/>
                <w:b w:val="false"/>
                <w:bCs w:val="false"/>
                <w:i w:val="false"/>
                <w:iCs w:val="false"/>
                <w:color w:val="404040"/>
                <w:sz w:val="18"/>
                <w:szCs w:val="18"/>
              </w:rPr>
              <w:t xml:space="preserve">  verbrecherisch</w:t>
            </w:r>
          </w:p>
        </w:tc>
      </w:tr>
      <w:tr>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monēre</w:t>
            </w:r>
            <w:r>
              <w:rPr>
                <w:rFonts w:ascii="Calibri" w:cs="Calibri" w:eastAsia="Calibri" w:hAnsi="Calibri"/>
                <w:b w:val="false"/>
                <w:bCs w:val="false"/>
                <w:i w:val="false"/>
                <w:iCs w:val="false"/>
                <w:color w:val="404040"/>
                <w:sz w:val="18"/>
                <w:szCs w:val="18"/>
              </w:rPr>
              <w:t xml:space="preserve">  ermahnen</w:t>
            </w:r>
          </w:p>
        </w:tc>
        <w:tc>
          <w:tcPr>
            <w:tcW w:type="dxa" w:w="3235"/>
            <w:tcMar>
              <w:top w:type="dxa" w:w="40"/>
              <w:left w:type="dxa" w:w="120"/>
              <w:bottom w:type="dxa" w:w="40"/>
              <w:right w:type="dxa" w:w="120"/>
            </w:tcMar>
          </w:tcPr>
          <w:p>
            <w:pPr>
              <w:spacing w:after="0" w:before="0"/>
            </w:pPr>
            <w:r>
              <w:rPr>
                <w:rFonts w:ascii="Calibri" w:cs="Calibri" w:eastAsia="Calibri" w:hAnsi="Calibri"/>
                <w:b w:val="false"/>
                <w:bCs w:val="false"/>
                <w:i w:val="false"/>
                <w:iCs w:val="false"/>
                <w:sz w:val="22"/>
                <w:szCs w:val="22"/>
              </w:rPr>
              <w:t xml:space="preserve"/>
            </w:r>
          </w:p>
        </w:tc>
        <w:tc>
          <w:tcPr>
            <w:tcW w:type="dxa" w:w="3236"/>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paucī</w:t>
            </w:r>
            <w:r>
              <w:rPr>
                <w:rFonts w:ascii="Calibri" w:cs="Calibri" w:eastAsia="Calibri" w:hAnsi="Calibri"/>
                <w:b w:val="false"/>
                <w:bCs w:val="false"/>
                <w:i w:val="false"/>
                <w:iCs w:val="false"/>
                <w:color w:val="404040"/>
                <w:sz w:val="18"/>
                <w:szCs w:val="18"/>
              </w:rPr>
              <w:t xml:space="preserve">  wenige</w:t>
            </w:r>
          </w:p>
        </w:tc>
      </w:tr>
      <w:tr>
        <w:tc>
          <w:tcPr>
            <w:tcW w:type="dxa" w:w="3235"/>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praebēre</w:t>
            </w:r>
            <w:r>
              <w:rPr>
                <w:rFonts w:ascii="Calibri" w:cs="Calibri" w:eastAsia="Calibri" w:hAnsi="Calibri"/>
                <w:b w:val="false"/>
                <w:bCs w:val="false"/>
                <w:i w:val="false"/>
                <w:iCs w:val="false"/>
                <w:color w:val="404040"/>
                <w:sz w:val="18"/>
                <w:szCs w:val="18"/>
              </w:rPr>
              <w:t xml:space="preserve">  hinhalten, geben</w:t>
            </w:r>
          </w:p>
        </w:tc>
        <w:tc>
          <w:tcPr>
            <w:tcW w:type="dxa" w:w="3235"/>
            <w:tcMar>
              <w:top w:type="dxa" w:w="40"/>
              <w:left w:type="dxa" w:w="120"/>
              <w:bottom w:type="dxa" w:w="40"/>
              <w:right w:type="dxa" w:w="120"/>
            </w:tcMar>
          </w:tcPr>
          <w:p>
            <w:pPr>
              <w:spacing w:after="0" w:before="0"/>
            </w:pPr>
            <w:r>
              <w:rPr>
                <w:rFonts w:ascii="Calibri" w:cs="Calibri" w:eastAsia="Calibri" w:hAnsi="Calibri"/>
                <w:b w:val="false"/>
                <w:bCs w:val="false"/>
                <w:i w:val="false"/>
                <w:iCs w:val="false"/>
                <w:sz w:val="22"/>
                <w:szCs w:val="22"/>
              </w:rPr>
              <w:t xml:space="preserve"/>
            </w:r>
          </w:p>
        </w:tc>
        <w:tc>
          <w:tcPr>
            <w:tcW w:type="dxa" w:w="3236"/>
            <w:tcMar>
              <w:top w:type="dxa" w:w="40"/>
              <w:left w:type="dxa" w:w="120"/>
              <w:bottom w:type="dxa" w:w="40"/>
              <w:right w:type="dxa" w:w="120"/>
            </w:tcMar>
          </w:tcPr>
          <w:p>
            <w:pPr>
              <w:spacing w:after="40" w:before="40"/>
            </w:pPr>
            <w:r>
              <w:rPr>
                <w:rFonts w:ascii="Cambria" w:cs="Cambria" w:eastAsia="Cambria" w:hAnsi="Cambria"/>
                <w:b/>
                <w:bCs/>
                <w:i/>
                <w:iCs/>
                <w:color w:val="1F3D5C"/>
                <w:sz w:val="21"/>
                <w:szCs w:val="21"/>
              </w:rPr>
              <w:t xml:space="preserve">iactāre</w:t>
            </w:r>
            <w:r>
              <w:rPr>
                <w:rFonts w:ascii="Calibri" w:cs="Calibri" w:eastAsia="Calibri" w:hAnsi="Calibri"/>
                <w:b w:val="false"/>
                <w:bCs w:val="false"/>
                <w:i w:val="false"/>
                <w:iCs w:val="false"/>
                <w:color w:val="404040"/>
                <w:sz w:val="18"/>
                <w:szCs w:val="18"/>
              </w:rPr>
              <w:t xml:space="preserve">  werfen, schleudern</w:t>
            </w:r>
          </w:p>
        </w:tc>
      </w:tr>
    </w:tbl>
    <w:p>
      <w:pPr>
        <w:spacing w:after="200" w:before="0"/>
      </w:pPr>
      <w:r>
        <w:rPr>
          <w:rFonts w:ascii="Calibri" w:cs="Calibri" w:eastAsia="Calibri" w:hAnsi="Calibri"/>
          <w:b w:val="false"/>
          <w:bCs w:val="false"/>
          <w:i w:val="false"/>
          <w:iCs w:val="false"/>
          <w:sz w:val="22"/>
          <w:szCs w:val="22"/>
        </w:rPr>
        <w:t xml:space="preserve"/>
      </w:r>
    </w:p>
    <w:tbl>
      <w:tblPr>
        <w:tblW w:type="dxa" w:w="9706"/>
        <w:tblBorders>
          <w:top w:val="single" w:color="2E74B5" w:sz="6"/>
          <w:left w:val="single" w:color="2E74B5" w:sz="6"/>
          <w:bottom w:val="single" w:color="2E74B5" w:sz="6"/>
          <w:right w:val="single" w:color="2E74B5" w:sz="6"/>
          <w:insideH w:val="none" w:color="FFFFFF" w:sz="0"/>
          <w:insideV w:val="none" w:color="FFFFFF" w:sz="0"/>
        </w:tblBorders>
      </w:tblPr>
      <w:tblGrid>
        <w:gridCol w:w="9706"/>
      </w:tblGrid>
      <w:tr>
        <w:tc>
          <w:tcPr>
            <w:tcW w:type="dxa" w:w="9706"/>
            <w:shd w:fill="DCE9F5" w:val="clear"/>
            <w:tcMar>
              <w:top w:type="dxa" w:w="160"/>
              <w:left w:type="dxa" w:w="200"/>
              <w:bottom w:type="dxa" w:w="160"/>
              <w:right w:type="dxa" w:w="200"/>
            </w:tcMar>
          </w:tcPr>
          <w:p>
            <w:pPr>
              <w:spacing w:after="80" w:before="0"/>
            </w:pPr>
            <w:r>
              <w:rPr>
                <w:rFonts w:ascii="Calibri" w:cs="Calibri" w:eastAsia="Calibri" w:hAnsi="Calibri"/>
                <w:b/>
                <w:bCs/>
                <w:i w:val="false"/>
                <w:iCs w:val="false"/>
                <w:color w:val="1F3D5C"/>
                <w:sz w:val="22"/>
                <w:szCs w:val="22"/>
              </w:rPr>
              <w:t xml:space="preserve">Gut begründete Doppelungen</w:t>
            </w:r>
          </w:p>
          <w:p>
            <w:pPr>
              <w:spacing w:after="0" w:before="0"/>
            </w:pPr>
            <w:r>
              <w:rPr>
                <w:rFonts w:ascii="Calibri" w:cs="Calibri" w:eastAsia="Calibri" w:hAnsi="Calibri"/>
                <w:b w:val="false"/>
                <w:bCs w:val="false"/>
                <w:i w:val="false"/>
                <w:iCs w:val="false"/>
                <w:sz w:val="21"/>
                <w:szCs w:val="21"/>
              </w:rPr>
              <w:t xml:space="preserve">iactāre kann ins erste Feld (Worte schleudern) oder ins dritte (Steine werfen) – im Text kommt beides vor. monēre passt zum Reden und zur Drohung. occupāre gehört zum Unrecht, könnte aber auch als Kriegswort gelten. Wer das begründet, hat die Aufgabe richtig gelöst.</w:t>
            </w:r>
          </w:p>
        </w:tc>
      </w:tr>
    </w:tbl>
    <w:p>
      <w:pPr>
        <w:spacing w:after="280" w:before="0"/>
      </w:pPr>
      <w:r>
        <w:rPr>
          <w:rFonts w:ascii="Calibri" w:cs="Calibri" w:eastAsia="Calibri" w:hAnsi="Calibri"/>
          <w:b w:val="false"/>
          <w:bCs w:val="false"/>
          <w:i w:val="false"/>
          <w:iCs w:val="false"/>
          <w:sz w:val="22"/>
          <w:szCs w:val="22"/>
        </w:rPr>
        <w:t xml:space="preserve"/>
      </w:r>
    </w:p>
    <w:p>
      <w:pPr>
        <w:spacing w:after="100" w:before="0"/>
      </w:pPr>
      <w:r>
        <w:rPr>
          <w:rFonts w:ascii="Calibri" w:cs="Calibri" w:eastAsia="Calibri" w:hAnsi="Calibri"/>
          <w:b/>
          <w:bCs/>
          <w:i w:val="false"/>
          <w:iCs w:val="false"/>
          <w:color w:val="1F3D5C"/>
          <w:sz w:val="25"/>
          <w:szCs w:val="25"/>
        </w:rPr>
        <w:t xml:space="preserve">Zu 2  Die Vermutung</w:t>
      </w:r>
    </w:p>
    <w:p>
      <w:pPr>
        <w:spacing w:after="90" w:before="0"/>
      </w:pPr>
      <w:r>
        <w:rPr>
          <w:rFonts w:ascii="Calibri" w:cs="Calibri" w:eastAsia="Calibri" w:hAnsi="Calibri"/>
          <w:b w:val="false"/>
          <w:bCs w:val="false"/>
          <w:i w:val="false"/>
          <w:iCs w:val="false"/>
          <w:sz w:val="21"/>
          <w:szCs w:val="21"/>
        </w:rPr>
        <w:t xml:space="preserve">a)  Das größte Feld ist „Reden und Zuhören" mit acht Wörtern. Erwartbar ist also kein Erzähltext, sondern eine Rede – und zwar eine, bei der es Widerspruch gibt: es wird nicht nur gesprochen, sondern geschrien, geantwortet und zum Schweigen aufgefordert.</w:t>
      </w:r>
    </w:p>
    <w:p>
      <w:pPr>
        <w:spacing w:after="90" w:before="0"/>
      </w:pPr>
      <w:r>
        <w:rPr>
          <w:rFonts w:ascii="Calibri" w:cs="Calibri" w:eastAsia="Calibri" w:hAnsi="Calibri"/>
          <w:b w:val="false"/>
          <w:bCs w:val="false"/>
          <w:i w:val="false"/>
          <w:iCs w:val="false"/>
          <w:sz w:val="21"/>
          <w:szCs w:val="21"/>
        </w:rPr>
        <w:t xml:space="preserve">b)  Das kleinste Feld ist „Kampf, Heimat, Ehre" mit vier Wörtern. Ausgerechnet das, worauf die Römer stolz sind, kommt am seltensten vor – und, wie sich beim Übersetzen zeigt, steht es durchweg in der Vergangenheit.</w:t>
      </w:r>
    </w:p>
    <w:p>
      <w:pPr>
        <w:spacing w:after="0" w:before="0"/>
      </w:pPr>
      <w:r>
        <w:rPr>
          <w:rFonts w:ascii="Calibri" w:cs="Calibri" w:eastAsia="Calibri" w:hAnsi="Calibri"/>
          <w:b w:val="false"/>
          <w:bCs w:val="false"/>
          <w:i w:val="false"/>
          <w:iCs w:val="false"/>
          <w:sz w:val="21"/>
          <w:szCs w:val="21"/>
        </w:rPr>
        <w:t xml:space="preserve">c)  Erwartbare Antwort: Dieselben Menschen haben gesiegt und besitzen doch nichts. Sie haben für die Heimat gekämpft und irren jetzt heimatlos umher. Wer den Text danach liest, findet genau diesen Widerspruch in Zeile 14/15 wieder – und damit die Leitfrage der Einheit.</w:t>
      </w:r>
    </w:p>
    <w:p>
      <w:pPr>
        <w:spacing w:after="260" w:before="0"/>
      </w:pPr>
      <w:r>
        <w:rPr>
          <w:rFonts w:ascii="Calibri" w:cs="Calibri" w:eastAsia="Calibri" w:hAnsi="Calibri"/>
          <w:b w:val="false"/>
          <w:bCs w:val="false"/>
          <w:i w:val="false"/>
          <w:iCs w:val="false"/>
          <w:sz w:val="22"/>
          <w:szCs w:val="22"/>
        </w:rPr>
        <w:t xml:space="preserve"/>
      </w:r>
    </w:p>
    <w:tbl>
      <w:tblPr>
        <w:tblW w:type="dxa" w:w="9706"/>
        <w:tblBorders>
          <w:top w:val="single" w:color="2E74B5" w:sz="6"/>
          <w:left w:val="single" w:color="2E74B5" w:sz="6"/>
          <w:bottom w:val="single" w:color="2E74B5" w:sz="6"/>
          <w:right w:val="single" w:color="2E74B5" w:sz="6"/>
          <w:insideH w:val="none" w:color="FFFFFF" w:sz="0"/>
          <w:insideV w:val="none" w:color="FFFFFF" w:sz="0"/>
        </w:tblBorders>
      </w:tblPr>
      <w:tblGrid>
        <w:gridCol w:w="9706"/>
      </w:tblGrid>
      <w:tr>
        <w:tc>
          <w:tcPr>
            <w:tcW w:type="dxa" w:w="9706"/>
            <w:shd w:fill="DCE9F5" w:val="clear"/>
            <w:tcMar>
              <w:top w:type="dxa" w:w="160"/>
              <w:left w:type="dxa" w:w="200"/>
              <w:bottom w:type="dxa" w:w="160"/>
              <w:right w:type="dxa" w:w="200"/>
            </w:tcMar>
          </w:tcPr>
          <w:p>
            <w:pPr>
              <w:spacing w:after="80" w:before="0"/>
            </w:pPr>
            <w:r>
              <w:rPr>
                <w:rFonts w:ascii="Calibri" w:cs="Calibri" w:eastAsia="Calibri" w:hAnsi="Calibri"/>
                <w:b/>
                <w:bCs/>
                <w:i w:val="false"/>
                <w:iCs w:val="false"/>
                <w:color w:val="1F3D5C"/>
                <w:sz w:val="22"/>
                <w:szCs w:val="22"/>
              </w:rPr>
              <w:t xml:space="preserve">Für die Lehrkraft</w:t>
            </w:r>
          </w:p>
          <w:p>
            <w:pPr>
              <w:spacing w:after="0" w:before="0"/>
            </w:pPr>
            <w:r>
              <w:rPr>
                <w:rFonts w:ascii="Calibri" w:cs="Calibri" w:eastAsia="Calibri" w:hAnsi="Calibri"/>
                <w:b w:val="false"/>
                <w:bCs w:val="false"/>
                <w:i w:val="false"/>
                <w:iCs w:val="false"/>
                <w:sz w:val="21"/>
                <w:szCs w:val="21"/>
              </w:rPr>
              <w:t xml:space="preserve">Das Blatt ist bewusst ohne die neuen Vokabeln der Lektion gebaut: Die Schüler sollen hier nichts nachschlagen müssen. Die zwanzig neuen Wörter von L. 15 stehen im Vokabelheftchen und werden beim Übersetzen gebraucht, nicht davor. Die Wortschatz-Werkstatt mit genau diesen neuen Wörtern liegt jetzt als AB 15 hinter der Übersetzung – als Vertiefung oder Zusatzaufgabe für Schnelle.</w:t>
            </w:r>
          </w:p>
        </w:tc>
      </w:tr>
    </w:tbl>
    <w:sectPr>
      <w:footerReference w:type="default" r:id="rId7"/>
      <w:pgSz w:w="11906" w:h="16838" w:orient="portrait"/>
      <w:pgMar w:top="800" w:right="1100" w:bottom="800" w:left="110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Calibri" w:cs="Calibri" w:eastAsia="Calibri" w:hAnsi="Calibri"/>
        <w:b w:val="false"/>
        <w:bCs w:val="false"/>
        <w:i w:val="false"/>
        <w:iCs w:val="false"/>
        <w:color w:val="808080"/>
        <w:sz w:val="16"/>
        <w:szCs w:val="16"/>
      </w:rPr>
      <w:t xml:space="preserve">Lektion 15 · Bauern und Adlige  |  AB 05 · Lösung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2026-09-01T06:31:33.788Z</dcterms:created>
  <dcterms:modified xsi:type="dcterms:W3CDTF">2026-09-01T06:31:33.788Z</dcterms:modified>
</cp:coreProperties>
</file>

<file path=docProps/custom.xml><?xml version="1.0" encoding="utf-8"?>
<Properties xmlns="http://schemas.openxmlformats.org/officeDocument/2006/custom-properties" xmlns:vt="http://schemas.openxmlformats.org/officeDocument/2006/docPropsVTypes"/>
</file>