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05 · Vorerschließung Wortschatz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Der Text gehört dir schon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Wortschatz-Vorerschließung · Kein einziges Wort auf diesem Blatt ist neu · etwa 10 Minuten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2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8"/>
                <w:szCs w:val="18"/>
              </w:rPr>
              <w:t xml:space="preserve">Name: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 hast den Lektionstext noch nicht gesehen. Diese zwanzig Wörter stehen darin – und alle hast du in früheren Lektionen schon gelernt. Sortiere sie. Danach weißt du ziemlich genau, worum es geht.</w:t>
            </w:r>
          </w:p>
        </w:tc>
      </w:tr>
    </w:tbl>
    <w:p>
      <w:pPr>
        <w:spacing w:after="1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25"/>
          <w:szCs w:val="25"/>
        </w:rPr>
        <w:t xml:space="preserve">1  Drei Wortfelder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Trage jedes Wort in das Feld ein, in das es am besten passt. Manches passt in zwei Felder – dann entscheide dich und begründe es mündlich. Nicht nachschlagen: raten mit Begründung ist erlaubt.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140"/>
        <w:jc w:val="center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inquit · audīre · clāmāre · clāmor · respondēre · tacēre · monēre · praebēre · pūgnāre · vincere · patria · Rōmānus · famēs · nihil · errāre · occupāre · pūnīre · scelestus · paucī · iactāre</w:t>
      </w:r>
    </w:p>
    <w:tbl>
      <w:tblPr>
        <w:tblW w:type="dxa" w:w="9706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E2E2E2" w:sz="2"/>
          <w:insideV w:val="single" w:color="2E74B5" w:sz="2"/>
        </w:tblBorders>
      </w:tblPr>
      <w:tblGrid>
        <w:gridCol w:w="3235"/>
        <w:gridCol w:w="3235"/>
        <w:gridCol w:w="3236"/>
      </w:tblGrid>
      <w:tr>
        <w:trPr>
          <w:tblHeader/>
        </w:trPr>
        <w:tc>
          <w:tcPr>
            <w:tcW w:type="dxa" w:w="3235"/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Reden und Zuhören</w:t>
            </w:r>
          </w:p>
        </w:tc>
        <w:tc>
          <w:tcPr>
            <w:tcW w:type="dxa" w:w="3235"/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Kampf, Heimat, Ehre</w:t>
            </w:r>
          </w:p>
        </w:tc>
        <w:tc>
          <w:tcPr>
            <w:tcW w:type="dxa" w:w="3236"/>
            <w:shd w:fill="DCE9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Not, Unrecht, Verlust</w:t>
            </w:r>
          </w:p>
        </w:tc>
      </w:tr>
      <w:tr>
        <w:trPr>
          <w:trHeight w:val="300" w:hRule="atLeast"/>
        </w:trPr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5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36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25"/>
          <w:szCs w:val="25"/>
        </w:rPr>
        <w:t xml:space="preserve">2  Deine Vermutung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Sieh dir deine drei Felder an – nicht die Wörter einzeln, sondern die Verteilung.</w:t>
      </w:r>
    </w:p>
    <w:p>
      <w:pPr>
        <w:spacing w:after="6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Welches Feld ist am größten geworden? Was für eine Art von Text erwartest du danach?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34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Welches Feld ist am kleinsten geworden?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34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Feld 2 und Feld 3 passen schlecht zusammen: Sieg, Heimat und Ehre auf der einen Seite – Hunger, Umherirren und Unrecht auf der anderen. Wie kann beides für dieselben Menschen gelten? Schreibe zwei Sätze.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34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3"/>
                <w:szCs w:val="23"/>
              </w:rPr>
              <w:t xml:space="preserve">3  Nach der Übersetzung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Nimm dieses Blatt noch einmal hervor: Stimmt deine Vermutung? Was hattest du nicht erwartet?</w:t>
            </w:r>
          </w:p>
          <w:tbl>
            <w:tblPr>
              <w:tblW w:type="dxa" w:w="97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9706"/>
            </w:tblGrid>
            <w:tr>
              <w:trPr>
                <w:trHeight w:val="340" w:hRule="atLeast"/>
              </w:trPr>
              <w:tc>
                <w:tcPr>
                  <w:tcW w:type="dxa" w:w="9706"/>
                  <w:tcBorders>
                    <w:top w:val="none" w:color="FFFFFF" w:sz="0"/>
                    <w:left w:val="none" w:color="FFFFFF" w:sz="0"/>
                    <w:bottom w:val="single" w:color="BFBFBF" w:sz="4"/>
                    <w:right w:val="none" w:color="FFFFFF" w:sz="0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Neu in Lektion 15 sind nur zwanzig Vokabeln. Alles andere im Lektionstext kennst du längst – wer es wachruft, bevor er anfängt, liest den Text, statt ihn zu entziffern.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Lektion 15 · Bauern und Adlige  |  AB 05 · Der Text gehört dir schon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2026-09-01T06:31:33.717Z</dcterms:created>
  <dcterms:modified xsi:type="dcterms:W3CDTF">2026-09-01T06:31:33.718Z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