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8"/>
        </w:pBdr>
        <w:tabs>
          <w:tab w:val="right" w:pos="9706"/>
        </w:tabs>
        <w:spacing w:after="200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0"/>
          <w:szCs w:val="20"/>
        </w:rPr>
        <w:t xml:space="preserve">Lektion 15 · Bauern und Adlige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08080"/>
          <w:sz w:val="20"/>
          <w:szCs w:val="20"/>
        </w:rPr>
        <w:t xml:space="preserve">	AB 07 · Vorbereitung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3D5C"/>
          <w:sz w:val="34"/>
          <w:szCs w:val="34"/>
        </w:rPr>
        <w:t xml:space="preserve">Mein Arbeitsplatz</w:t>
      </w:r>
    </w:p>
    <w:p>
      <w:pPr>
        <w:spacing w:after="2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74B5"/>
          <w:sz w:val="21"/>
          <w:szCs w:val="21"/>
        </w:rPr>
        <w:t xml:space="preserve">Vier Dinge auf dem Tisch – mehr nicht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06"/>
      </w:tblGrid>
      <w:tr>
        <w:trPr>
          <w:trHeight w:val="420" w:hRule="atLeast"/>
        </w:trPr>
        <w:tc>
          <w:tcPr>
            <w:tcW w:type="dxa" w:w="970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08080"/>
                <w:sz w:val="18"/>
                <w:szCs w:val="18"/>
              </w:rPr>
              <w:t xml:space="preserve">Name:</w:t>
            </w:r>
          </w:p>
        </w:tc>
      </w:tr>
    </w:tbl>
    <w:p>
      <w:pPr>
        <w:spacing w:after="2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Bevor du an die Übersetzung gehst: Räum ab. Was übrig bleibt, ist alles, was du brauchst.</w:t>
      </w:r>
    </w:p>
    <w:tbl>
      <w:tblPr>
        <w:tblW w:type="dxa" w:w="9706"/>
        <w:tblBorders>
          <w:top w:val="single" w:color="2E74B5" w:sz="4"/>
          <w:left w:val="single" w:color="2E74B5" w:sz="4"/>
          <w:bottom w:val="single" w:color="2E74B5" w:sz="4"/>
          <w:right w:val="single" w:color="2E74B5" w:sz="4"/>
          <w:insideH w:val="single" w:color="2E74B5" w:sz="2"/>
          <w:insideV w:val="none" w:color="FFFFFF" w:sz="0"/>
        </w:tblBorders>
      </w:tblPr>
      <w:tblGrid>
        <w:gridCol w:w="560"/>
        <w:gridCol w:w="9146"/>
      </w:tblGrid>
      <w:tr>
        <w:trPr>
          <w:cantSplit/>
        </w:trPr>
        <w:tc>
          <w:tcPr>
            <w:tcW w:type="dxa" w:w="560"/>
            <w:tcMar>
              <w:top w:type="dxa" w:w="130"/>
              <w:left w:type="dxa" w:w="80"/>
              <w:bottom w:type="dxa" w:w="1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☐</w:t>
            </w:r>
          </w:p>
        </w:tc>
        <w:tc>
          <w:tcPr>
            <w:tcW w:type="dxa" w:w="9146"/>
            <w:tcMar>
              <w:top w:type="dxa" w:w="130"/>
              <w:left w:type="dxa" w:w="100"/>
              <w:bottom w:type="dxa" w:w="130"/>
              <w:right w:type="dxa" w:w="14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3"/>
                <w:szCs w:val="23"/>
              </w:rPr>
              <w:t xml:space="preserve">Mein Textblatt AB 08.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In der Hilfen-Stufe, die ich gewählt habe. Der ganze Lektionstext steht darauf – Satz für Satz.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130"/>
              <w:left w:type="dxa" w:w="80"/>
              <w:bottom w:type="dxa" w:w="1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☐</w:t>
            </w:r>
          </w:p>
        </w:tc>
        <w:tc>
          <w:tcPr>
            <w:tcW w:type="dxa" w:w="9146"/>
            <w:tcMar>
              <w:top w:type="dxa" w:w="130"/>
              <w:left w:type="dxa" w:w="100"/>
              <w:bottom w:type="dxa" w:w="130"/>
              <w:right w:type="dxa" w:w="14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3"/>
                <w:szCs w:val="23"/>
              </w:rPr>
              <w:t xml:space="preserve">Das Vokabelheftchen zu Lektion 15.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Darin stehen die zwanzig neuen Wörter. Mehr Nachschlagewerk brauche ich nicht.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130"/>
              <w:left w:type="dxa" w:w="80"/>
              <w:bottom w:type="dxa" w:w="1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☐</w:t>
            </w:r>
          </w:p>
        </w:tc>
        <w:tc>
          <w:tcPr>
            <w:tcW w:type="dxa" w:w="9146"/>
            <w:tcMar>
              <w:top w:type="dxa" w:w="130"/>
              <w:left w:type="dxa" w:w="100"/>
              <w:bottom w:type="dxa" w:w="130"/>
              <w:right w:type="dxa" w:w="14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3"/>
                <w:szCs w:val="23"/>
              </w:rPr>
              <w:t xml:space="preserve">AB 05 und AB 06, wenn ich sie bearbeitet habe.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Die Wortfelder und die markierten Formen. Wer sie noch nicht hat, fängt trotzdem an.</w:t>
            </w:r>
          </w:p>
        </w:tc>
      </w:tr>
      <w:tr>
        <w:trPr>
          <w:cantSplit/>
        </w:trPr>
        <w:tc>
          <w:tcPr>
            <w:tcW w:type="dxa" w:w="560"/>
            <w:tcMar>
              <w:top w:type="dxa" w:w="130"/>
              <w:left w:type="dxa" w:w="80"/>
              <w:bottom w:type="dxa" w:w="1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☐</w:t>
            </w:r>
          </w:p>
        </w:tc>
        <w:tc>
          <w:tcPr>
            <w:tcW w:type="dxa" w:w="9146"/>
            <w:tcMar>
              <w:top w:type="dxa" w:w="130"/>
              <w:left w:type="dxa" w:w="100"/>
              <w:bottom w:type="dxa" w:w="130"/>
              <w:right w:type="dxa" w:w="14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3"/>
                <w:szCs w:val="23"/>
              </w:rPr>
              <w:t xml:space="preserve">Alles andere ist weg.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Schülerbuch zu, Handy weg, andere Blätter auf den Stapel. Auch das Buch – der Text steht auf deinem Blatt.</w:t>
            </w:r>
          </w:p>
        </w:tc>
      </w:tr>
    </w:tbl>
    <w:p>
      <w:pPr>
        <w:spacing w:after="3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2E74B5"/>
          <w:sz w:val="25"/>
          <w:szCs w:val="25"/>
        </w:rPr>
        <w:t xml:space="preserve">Ziel   </w:t>
      </w:r>
      <w:r>
        <w:rPr>
          <w:rFonts w:ascii="Calibri" w:cs="Calibri" w:eastAsia="Calibri" w:hAnsi="Calibri"/>
          <w:b/>
          <w:bCs/>
          <w:i w:val="false"/>
          <w:iCs w:val="false"/>
          <w:color w:val="1F3D5C"/>
          <w:sz w:val="25"/>
          <w:szCs w:val="25"/>
        </w:rPr>
        <w:t xml:space="preserve">Was nimmst du dir für die Übersetzung vor?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20"/>
          <w:szCs w:val="20"/>
        </w:rPr>
        <w:t xml:space="preserve">Ein Satz. Nicht „alles schaffen", sondern etwas, das du am Ende überprüfen kannst – zum Beispiel: „Bis Zeile 10 ohne Nachschlagen."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06"/>
      </w:tblGrid>
      <w:tr>
        <w:trPr>
          <w:trHeight w:val="400" w:hRule="atLeast"/>
        </w:trPr>
        <w:tc>
          <w:tcPr>
            <w:tcW w:type="dxa" w:w="970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70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70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none" w:color="FFFFFF" w:sz="0"/>
          <w:insideV w:val="none" w:color="FFFFFF" w:sz="0"/>
        </w:tblBorders>
      </w:tblPr>
      <w:tblGrid>
        <w:gridCol w:w="9706"/>
      </w:tblGrid>
      <w:tr>
        <w:tc>
          <w:tcPr>
            <w:tcW w:type="dxa" w:w="9706"/>
            <w:shd w:fill="DCE9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D5C"/>
                <w:sz w:val="22"/>
                <w:szCs w:val="22"/>
              </w:rPr>
              <w:t xml:space="preserve">Meine Hilfen-Stufe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ohne Hilfen              ☐  wenig Hilfen              ☐  viele Hilfen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Das ist keine Note. Wer viele Hilfen nimmt und den Text versteht, hat mehr gelernt als jemand, der ohne Hilfen rät. Du darfst mittendrin wechseln.</w:t>
            </w:r>
          </w:p>
        </w:tc>
      </w:tr>
    </w:tbl>
    <w:sectPr>
      <w:footerReference w:type="default" r:id="rId7"/>
      <w:pgSz w:w="11906" w:h="16838" w:orient="portrait"/>
      <w:pgMar w:top="800" w:right="1100" w:bottom="800" w:left="11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right"/>
    </w:pPr>
    <w:r>
      <w:rPr>
        <w:rFonts w:ascii="Calibri" w:cs="Calibri" w:eastAsia="Calibri" w:hAnsi="Calibri"/>
        <w:b w:val="false"/>
        <w:bCs w:val="false"/>
        <w:i w:val="false"/>
        <w:iCs w:val="false"/>
        <w:color w:val="808080"/>
        <w:sz w:val="16"/>
        <w:szCs w:val="16"/>
      </w:rPr>
      <w:t xml:space="preserve">Lektion 15 · Bauern und Adlige  |  AB 07 · Mein Arbeitsplatz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2026-09-01T06:31:33.822Z</dcterms:created>
  <dcterms:modified xsi:type="dcterms:W3CDTF">2026-09-01T06:31:33.822Z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