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4B5" w:sz="8"/>
        </w:pBdr>
        <w:tabs>
          <w:tab w:val="right" w:pos="9706"/>
        </w:tabs>
        <w:spacing w:after="20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Lektion 15 · Bauern und Adlige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08080"/>
          <w:sz w:val="20"/>
          <w:szCs w:val="20"/>
        </w:rPr>
        <w:t xml:space="preserve">	AB 08 · Übersetzung – ohne Hilfen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F3D5C"/>
          <w:sz w:val="34"/>
          <w:szCs w:val="34"/>
        </w:rPr>
        <w:t xml:space="preserve">Tiberius Gracchus kämpft für die Armen</w:t>
      </w:r>
    </w:p>
    <w:p>
      <w:pPr>
        <w:spacing w:after="2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74B5"/>
          <w:sz w:val="21"/>
          <w:szCs w:val="21"/>
        </w:rPr>
        <w:t xml:space="preserve">Übersetzung ohne Hilfen · Satz für Satz · Schülerbuch S. 109</w:t>
      </w:r>
    </w:p>
    <w:tbl>
      <w:tblPr>
        <w:tblW w:type="dxa" w:w="97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06"/>
      </w:tblGrid>
      <w:tr>
        <w:trPr>
          <w:trHeight w:val="420" w:hRule="atLeast"/>
        </w:trPr>
        <w:tc>
          <w:tcPr>
            <w:tcW w:type="dxa" w:w="970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vAlign w:val="bottom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08080"/>
                <w:sz w:val="18"/>
                <w:szCs w:val="18"/>
              </w:rPr>
              <w:t xml:space="preserve">Name:</w:t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706"/>
        <w:tblBorders>
          <w:top w:val="single" w:color="2E74B5" w:sz="6"/>
          <w:left w:val="single" w:color="2E74B5" w:sz="6"/>
          <w:bottom w:val="single" w:color="2E74B5" w:sz="6"/>
          <w:right w:val="single" w:color="2E74B5" w:sz="6"/>
          <w:insideH w:val="none" w:color="FFFFFF" w:sz="0"/>
          <w:insideV w:val="none" w:color="FFFFFF" w:sz="0"/>
        </w:tblBorders>
      </w:tblPr>
      <w:tblGrid>
        <w:gridCol w:w="9706"/>
      </w:tblGrid>
      <w:tr>
        <w:tc>
          <w:tcPr>
            <w:tcW w:type="dxa" w:w="9706"/>
            <w:shd w:fill="DCE9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D5C"/>
                <w:sz w:val="22"/>
                <w:szCs w:val="22"/>
              </w:rPr>
              <w:t xml:space="preserve">So arbeitest du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Jede Zeile dieses Blattes ist ein ganzer Satz. Übersetze ihn auf die Linien darunter. Wenn du bei einem Satz hängst, überspringe ihn und komm später zurück – der Zusammenhang hilft dir oft mehr als das Wörterbuch. Die Hilfen-Stufe darfst du jederzeit wechseln.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Links steht die Zeile im Schülerbuch. Gib sie an, wenn du später einen Beleg notierst.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1"/>
                <w:szCs w:val="21"/>
              </w:rPr>
              <w:t xml:space="preserve">Achte besonders auf die Passivformen. Frage bei jeder: Wem geschieht das – und steht dabei, wer es tut?</w:t>
            </w:r>
          </w:p>
        </w:tc>
      </w:tr>
    </w:tbl>
    <w:p>
      <w:pPr>
        <w:spacing w:after="2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7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20"/>
        <w:gridCol w:w="8886"/>
      </w:tblGrid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08080"/>
                <w:sz w:val="17"/>
                <w:szCs w:val="17"/>
              </w:rPr>
              <w:t xml:space="preserve">Z. 1–2</w:t>
            </w:r>
          </w:p>
        </w:tc>
        <w:tc>
          <w:tcPr>
            <w:tcW w:type="dxa" w:w="88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200" w:line="400" w:lineRule="auto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4"/>
                <w:szCs w:val="24"/>
              </w:rPr>
              <w:t xml:space="preserve">Tiberius Gracchus rōstra ascendit et „Quirītēs", inquit, „audīte mē!</w:t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1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1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1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08080"/>
                <w:sz w:val="17"/>
                <w:szCs w:val="17"/>
              </w:rPr>
              <w:t xml:space="preserve">Z. 2</w:t>
            </w:r>
          </w:p>
        </w:tc>
        <w:tc>
          <w:tcPr>
            <w:tcW w:type="dxa" w:w="88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200" w:line="400" w:lineRule="auto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4"/>
                <w:szCs w:val="24"/>
              </w:rPr>
              <w:t xml:space="preserve">Nōbilēs enim cīvēs Rōmānōs ab agrīs pepulērunt.</w:t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1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1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08080"/>
                <w:sz w:val="17"/>
                <w:szCs w:val="17"/>
              </w:rPr>
              <w:t xml:space="preserve">Z. 2–3</w:t>
            </w:r>
          </w:p>
        </w:tc>
        <w:tc>
          <w:tcPr>
            <w:tcW w:type="dxa" w:w="88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200" w:line="400" w:lineRule="auto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4"/>
                <w:szCs w:val="24"/>
              </w:rPr>
              <w:t xml:space="preserve">Tamen nōn pūniuntur.</w:t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1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1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08080"/>
                <w:sz w:val="17"/>
                <w:szCs w:val="17"/>
              </w:rPr>
              <w:t xml:space="preserve">Z. 3–4</w:t>
            </w:r>
          </w:p>
        </w:tc>
        <w:tc>
          <w:tcPr>
            <w:tcW w:type="dxa" w:w="88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200" w:line="400" w:lineRule="auto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4"/>
                <w:szCs w:val="24"/>
              </w:rPr>
              <w:t xml:space="preserve">Nihil agitur, quamquam vōs, virī probī, famē labōrātis.</w:t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1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1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1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08080"/>
                <w:sz w:val="17"/>
                <w:szCs w:val="17"/>
              </w:rPr>
              <w:t xml:space="preserve">Z. 4–5</w:t>
            </w:r>
          </w:p>
        </w:tc>
        <w:tc>
          <w:tcPr>
            <w:tcW w:type="dxa" w:w="88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200" w:line="400" w:lineRule="auto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4"/>
                <w:szCs w:val="24"/>
              </w:rPr>
              <w:t xml:space="preserve">Nihil agitur, quamquam uxōrēs et līberī vestrī famē urgentur!"</w:t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1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1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1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08080"/>
                <w:sz w:val="17"/>
                <w:szCs w:val="17"/>
              </w:rPr>
              <w:t xml:space="preserve">Z. 6–7</w:t>
            </w:r>
          </w:p>
        </w:tc>
        <w:tc>
          <w:tcPr>
            <w:tcW w:type="dxa" w:w="88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200" w:line="400" w:lineRule="auto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4"/>
                <w:szCs w:val="24"/>
              </w:rPr>
              <w:t xml:space="preserve">Subitō ūnus ē nōbilibus clāmāvit: „Adūlātor! Grātiam populī quaeris."</w:t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1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1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1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08080"/>
                <w:sz w:val="17"/>
                <w:szCs w:val="17"/>
              </w:rPr>
              <w:t xml:space="preserve">Z. 7–8</w:t>
            </w:r>
          </w:p>
        </w:tc>
        <w:tc>
          <w:tcPr>
            <w:tcW w:type="dxa" w:w="88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200" w:line="400" w:lineRule="auto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4"/>
                <w:szCs w:val="24"/>
              </w:rPr>
              <w:t xml:space="preserve">Iam clāmor hominum īrātōrum audiēbātur, etiam lapidēs in Tiberium Gracchum iaciēbantur, cum hic respondit:</w:t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1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1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1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08080"/>
                <w:sz w:val="17"/>
                <w:szCs w:val="17"/>
              </w:rPr>
              <w:t xml:space="preserve">Z. 9</w:t>
            </w:r>
          </w:p>
        </w:tc>
        <w:tc>
          <w:tcPr>
            <w:tcW w:type="dxa" w:w="88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200" w:line="400" w:lineRule="auto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4"/>
                <w:szCs w:val="24"/>
              </w:rPr>
              <w:t xml:space="preserve">„Num ā tē adūlātor appellor, quod dē populō cūrō?</w:t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1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1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08080"/>
                <w:sz w:val="17"/>
                <w:szCs w:val="17"/>
              </w:rPr>
              <w:t xml:space="preserve">Z. 10</w:t>
            </w:r>
          </w:p>
        </w:tc>
        <w:tc>
          <w:tcPr>
            <w:tcW w:type="dxa" w:w="88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200" w:line="400" w:lineRule="auto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4"/>
                <w:szCs w:val="24"/>
              </w:rPr>
              <w:t xml:space="preserve">Tē moneō: Tacē aut iactāberis ē forō!</w:t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1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1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08080"/>
                <w:sz w:val="17"/>
                <w:szCs w:val="17"/>
              </w:rPr>
              <w:t xml:space="preserve">Z. 11</w:t>
            </w:r>
          </w:p>
        </w:tc>
        <w:tc>
          <w:tcPr>
            <w:tcW w:type="dxa" w:w="88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200" w:line="400" w:lineRule="auto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4"/>
                <w:szCs w:val="24"/>
              </w:rPr>
              <w:t xml:space="preserve">Quirītēs, aurēs iterum mihi praebēte!</w:t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1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1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08080"/>
                <w:sz w:val="17"/>
                <w:szCs w:val="17"/>
              </w:rPr>
              <w:t xml:space="preserve">Z. 11–12</w:t>
            </w:r>
          </w:p>
        </w:tc>
        <w:tc>
          <w:tcPr>
            <w:tcW w:type="dxa" w:w="88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200" w:line="400" w:lineRule="auto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4"/>
                <w:szCs w:val="24"/>
              </w:rPr>
              <w:t xml:space="preserve">Nūper prō patriā pūgnāvistis et vīcistis prō glōriā Rōmānōrum.</w:t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1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1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1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08080"/>
                <w:sz w:val="17"/>
                <w:szCs w:val="17"/>
              </w:rPr>
              <w:t xml:space="preserve">Z. 12</w:t>
            </w:r>
          </w:p>
        </w:tc>
        <w:tc>
          <w:tcPr>
            <w:tcW w:type="dxa" w:w="88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200" w:line="400" w:lineRule="auto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4"/>
                <w:szCs w:val="24"/>
              </w:rPr>
              <w:t xml:space="preserve">Itane vērō?</w:t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1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08080"/>
                <w:sz w:val="17"/>
                <w:szCs w:val="17"/>
              </w:rPr>
              <w:t xml:space="preserve">Z. 13</w:t>
            </w:r>
          </w:p>
        </w:tc>
        <w:tc>
          <w:tcPr>
            <w:tcW w:type="dxa" w:w="88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200" w:line="400" w:lineRule="auto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4"/>
                <w:szCs w:val="24"/>
              </w:rPr>
              <w:t xml:space="preserve">Licetne vōs victōrēs appellārī?</w:t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1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1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08080"/>
                <w:sz w:val="17"/>
                <w:szCs w:val="17"/>
              </w:rPr>
              <w:t xml:space="preserve">Z. 13</w:t>
            </w:r>
          </w:p>
        </w:tc>
        <w:tc>
          <w:tcPr>
            <w:tcW w:type="dxa" w:w="88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200" w:line="400" w:lineRule="auto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4"/>
                <w:szCs w:val="24"/>
              </w:rPr>
              <w:t xml:space="preserve">Sinitis vōs ē sēdibus vestrīs pellī.</w:t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1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1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08080"/>
                <w:sz w:val="17"/>
                <w:szCs w:val="17"/>
              </w:rPr>
              <w:t xml:space="preserve">Z. 14–15</w:t>
            </w:r>
          </w:p>
        </w:tc>
        <w:tc>
          <w:tcPr>
            <w:tcW w:type="dxa" w:w="88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200" w:line="400" w:lineRule="auto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4"/>
                <w:szCs w:val="24"/>
              </w:rPr>
              <w:t xml:space="preserve">Appellāminī dominī terrārum, nunc autem patria sēdēsque occupantur et errātis per terrās.</w:t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1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1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1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1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08080"/>
                <w:sz w:val="17"/>
                <w:szCs w:val="17"/>
              </w:rPr>
              <w:t xml:space="preserve">Z. 15–16</w:t>
            </w:r>
          </w:p>
        </w:tc>
        <w:tc>
          <w:tcPr>
            <w:tcW w:type="dxa" w:w="88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200" w:line="400" w:lineRule="auto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4"/>
                <w:szCs w:val="24"/>
              </w:rPr>
              <w:t xml:space="preserve">Nōn prō glōriā Rōmānōrum vīcistis, sed prō lūxuriā et avāritiā paucōrum!</w:t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1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1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1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08080"/>
                <w:sz w:val="17"/>
                <w:szCs w:val="17"/>
              </w:rPr>
              <w:t xml:space="preserve">Z. 17</w:t>
            </w:r>
          </w:p>
        </w:tc>
        <w:tc>
          <w:tcPr>
            <w:tcW w:type="dxa" w:w="88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200" w:line="400" w:lineRule="auto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4"/>
                <w:szCs w:val="24"/>
              </w:rPr>
              <w:t xml:space="preserve">Quamdiū igitur opprimimur ab hominibus scelestīs?</w:t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1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1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08080"/>
                <w:sz w:val="17"/>
                <w:szCs w:val="17"/>
              </w:rPr>
              <w:t xml:space="preserve">Z. 17–18</w:t>
            </w:r>
          </w:p>
        </w:tc>
        <w:tc>
          <w:tcPr>
            <w:tcW w:type="dxa" w:w="88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200" w:line="400" w:lineRule="auto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4"/>
                <w:szCs w:val="24"/>
              </w:rPr>
              <w:t xml:space="preserve">Hodiē ā mē lēx nova rogābitur.</w:t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1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1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08080"/>
                <w:sz w:val="17"/>
                <w:szCs w:val="17"/>
              </w:rPr>
              <w:t xml:space="preserve">Z. 18–19</w:t>
            </w:r>
          </w:p>
        </w:tc>
        <w:tc>
          <w:tcPr>
            <w:tcW w:type="dxa" w:w="88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200" w:line="400" w:lineRule="auto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4"/>
                <w:szCs w:val="24"/>
              </w:rPr>
              <w:t xml:space="preserve">Accipite, Quirītēs, hanc lēgem et agrī mox vōbīs reddentur.</w:t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1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1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1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08080"/>
                <w:sz w:val="17"/>
                <w:szCs w:val="17"/>
              </w:rPr>
              <w:t xml:space="preserve">Z. 19–20</w:t>
            </w:r>
          </w:p>
        </w:tc>
        <w:tc>
          <w:tcPr>
            <w:tcW w:type="dxa" w:w="88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200" w:line="400" w:lineRule="auto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z w:val="24"/>
                <w:szCs w:val="24"/>
              </w:rPr>
              <w:t xml:space="preserve">Accipite hanc lēgem et cūncta mūtābuntur."</w:t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1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886"/>
            <w:gridSpan w:val="1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08080"/>
          <w:sz w:val="17"/>
          <w:szCs w:val="17"/>
        </w:rPr>
        <w:t xml:space="preserve">Quirītēs, Quirītium m. Pl.: die römischen Bürger · adūlātor, adūlātōris m.: der Schmeichler · rogāre, rogō: hier: (ein Gesetz) beantragen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808080"/>
          <w:sz w:val="17"/>
          <w:szCs w:val="17"/>
        </w:rPr>
        <w:t xml:space="preserve">nach: Plutarch, Parallelbiographien · Schülerbuch S. 109</w:t>
      </w:r>
    </w:p>
    <w:p>
      <w:pPr>
        <w:pageBreakBefore/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Bdr>
          <w:bottom w:val="single" w:color="2E74B5" w:sz="8"/>
        </w:pBdr>
        <w:tabs>
          <w:tab w:val="right" w:pos="9706"/>
        </w:tabs>
        <w:spacing w:after="20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0"/>
          <w:szCs w:val="20"/>
        </w:rPr>
        <w:t xml:space="preserve">Lektion 15 · Bauern und Adlige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08080"/>
          <w:sz w:val="20"/>
          <w:szCs w:val="20"/>
        </w:rPr>
        <w:t xml:space="preserve">	AB 08 · Übersetzung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F3D5C"/>
          <w:sz w:val="34"/>
          <w:szCs w:val="34"/>
        </w:rPr>
        <w:t xml:space="preserve">Fragen zum Text</w:t>
      </w:r>
    </w:p>
    <w:p>
      <w:pPr>
        <w:spacing w:after="2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74B5"/>
          <w:sz w:val="21"/>
          <w:szCs w:val="21"/>
        </w:rPr>
        <w:t xml:space="preserve">Erst beantworten, wenn du übersetzt hast. Gib bei jeder Antwort die Zeile an.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2"/>
          <w:szCs w:val="22"/>
        </w:rPr>
        <w:t xml:space="preserve">1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Suche drei Stellen, an denen den Bürgern etwas geschieht, ohne dass gesagt wird, wer es tut. Notiere Zeile und Form.</w:t>
      </w:r>
    </w:p>
    <w:tbl>
      <w:tblPr>
        <w:tblW w:type="dxa" w:w="97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06"/>
      </w:tblGrid>
      <w:tr>
        <w:trPr>
          <w:trHeight w:val="400" w:hRule="atLeast"/>
        </w:trPr>
        <w:tc>
          <w:tcPr>
            <w:tcW w:type="dxa" w:w="970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70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0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2"/>
          <w:szCs w:val="22"/>
        </w:rPr>
        <w:t xml:space="preserve">2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An genau drei Stellen nennt Gracchus den Handelnden (ā tē, ab hominibus scelestīs, ā mē). Was haben diese drei gemeinsam?</w:t>
      </w:r>
    </w:p>
    <w:tbl>
      <w:tblPr>
        <w:tblW w:type="dxa" w:w="97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06"/>
      </w:tblGrid>
      <w:tr>
        <w:trPr>
          <w:trHeight w:val="400" w:hRule="atLeast"/>
        </w:trPr>
        <w:tc>
          <w:tcPr>
            <w:tcW w:type="dxa" w:w="970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70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0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2"/>
          <w:szCs w:val="22"/>
        </w:rPr>
        <w:t xml:space="preserve">3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Wie werden die Bürger in Zeile 13 und 14 genannt? Wie geht es ihnen laut Zeile 15?</w:t>
      </w:r>
    </w:p>
    <w:tbl>
      <w:tblPr>
        <w:tblW w:type="dxa" w:w="97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06"/>
      </w:tblGrid>
      <w:tr>
        <w:trPr>
          <w:trHeight w:val="400" w:hRule="atLeast"/>
        </w:trPr>
        <w:tc>
          <w:tcPr>
            <w:tcW w:type="dxa" w:w="970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70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0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2E74B5"/>
          <w:sz w:val="22"/>
          <w:szCs w:val="22"/>
        </w:rPr>
        <w:t xml:space="preserve">4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Was verspricht Gracchus in Zeile 18–20 – und wer soll es tun?</w:t>
      </w:r>
    </w:p>
    <w:tbl>
      <w:tblPr>
        <w:tblW w:type="dxa" w:w="97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06"/>
      </w:tblGrid>
      <w:tr>
        <w:trPr>
          <w:trHeight w:val="400" w:hRule="atLeast"/>
        </w:trPr>
        <w:tc>
          <w:tcPr>
            <w:tcW w:type="dxa" w:w="970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70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3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706"/>
        <w:tblBorders>
          <w:top w:val="single" w:color="2E74B5" w:sz="6"/>
          <w:left w:val="single" w:color="2E74B5" w:sz="6"/>
          <w:bottom w:val="single" w:color="2E74B5" w:sz="6"/>
          <w:right w:val="single" w:color="2E74B5" w:sz="6"/>
          <w:insideH w:val="none" w:color="FFFFFF" w:sz="0"/>
          <w:insideV w:val="none" w:color="FFFFFF" w:sz="0"/>
        </w:tblBorders>
      </w:tblPr>
      <w:tblGrid>
        <w:gridCol w:w="9706"/>
      </w:tblGrid>
      <w:tr>
        <w:tc>
          <w:tcPr>
            <w:tcW w:type="dxa" w:w="9706"/>
            <w:shd w:fill="DCE9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D5C"/>
                <w:sz w:val="22"/>
                <w:szCs w:val="22"/>
              </w:rPr>
              <w:t xml:space="preserve">Und jetzt zur Beleg-Tafel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Du hast den Text. Trage ein, was du gefunden hast: links, wie die Bürger genannt werden – rechts, wie es ihnen geht. Jeder Eintrag mit Zeilenangabe.</w:t>
            </w:r>
          </w:p>
        </w:tc>
      </w:tr>
    </w:tbl>
    <w:sectPr>
      <w:footerReference w:type="default" r:id="rId7"/>
      <w:pgSz w:w="11906" w:h="16838" w:orient="portrait"/>
      <w:pgMar w:top="800" w:right="1100" w:bottom="800" w:left="1100" w:header="708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right"/>
    </w:pPr>
    <w:r>
      <w:rPr>
        <w:rFonts w:ascii="Calibri" w:cs="Calibri" w:eastAsia="Calibri" w:hAnsi="Calibri"/>
        <w:b w:val="false"/>
        <w:bCs w:val="false"/>
        <w:i w:val="false"/>
        <w:iCs w:val="false"/>
        <w:color w:val="808080"/>
        <w:sz w:val="16"/>
        <w:szCs w:val="16"/>
      </w:rPr>
      <w:t xml:space="preserve">Lektion 15 · Bauern und Adlige  |  AB 08 · Übersetzung – ohne Hilfen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2026-09-01T06:31:33.055Z</dcterms:created>
  <dcterms:modified xsi:type="dcterms:W3CDTF">2026-09-01T06:31:33.055Z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