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tabs>
          <w:tab w:val="right" w:pos="9706"/>
        </w:tabs>
        <w:spacing w:after="200"/>
      </w:pPr>
      <w:r>
        <w:rPr>
          <w:rFonts w:ascii="Calibri" w:cs="Calibri" w:eastAsia="Calibri" w:hAnsi="Calibri"/>
          <w:b/>
          <w:bCs/>
          <w:i w:val="false"/>
          <w:iCs w:val="false"/>
          <w:color w:val="2E74B5"/>
          <w:sz w:val="20"/>
          <w:szCs w:val="20"/>
        </w:rPr>
        <w:t xml:space="preserve">Lektion 15 · Bauern und Adlige</w:t>
      </w:r>
      <w:r>
        <w:rPr>
          <w:rFonts w:ascii="Calibri" w:cs="Calibri" w:eastAsia="Calibri" w:hAnsi="Calibri"/>
          <w:b w:val="false"/>
          <w:bCs w:val="false"/>
          <w:i w:val="false"/>
          <w:iCs w:val="false"/>
          <w:color w:val="808080"/>
          <w:sz w:val="20"/>
          <w:szCs w:val="20"/>
        </w:rPr>
        <w:t xml:space="preserve">	AB 15 · Lösung</w:t>
      </w:r>
    </w:p>
    <w:p>
      <w:pPr>
        <w:spacing w:after="40" w:before="0"/>
      </w:pPr>
      <w:r>
        <w:rPr>
          <w:rFonts w:ascii="Calibri" w:cs="Calibri" w:eastAsia="Calibri" w:hAnsi="Calibri"/>
          <w:b/>
          <w:bCs/>
          <w:i w:val="false"/>
          <w:iCs w:val="false"/>
          <w:color w:val="1F3D5C"/>
          <w:sz w:val="34"/>
          <w:szCs w:val="34"/>
        </w:rPr>
        <w:t xml:space="preserve">Lösung zur Wortschatz-Werkstatt</w:t>
      </w:r>
    </w:p>
    <w:p>
      <w:pPr>
        <w:spacing w:after="260" w:before="0"/>
      </w:pPr>
      <w:r>
        <w:rPr>
          <w:rFonts w:ascii="Calibri" w:cs="Calibri" w:eastAsia="Calibri" w:hAnsi="Calibri"/>
          <w:b w:val="false"/>
          <w:bCs w:val="false"/>
          <w:i w:val="false"/>
          <w:iCs w:val="false"/>
          <w:color w:val="2E74B5"/>
          <w:sz w:val="21"/>
          <w:szCs w:val="21"/>
        </w:rPr>
        <w:t xml:space="preserve">Zur Selbstkontrolle · andere Zuordnungen sind möglich, wenn sie begründet werden</w:t>
      </w:r>
    </w:p>
    <w:p>
      <w:pPr>
        <w:spacing w:after="160" w:before="0"/>
      </w:pPr>
      <w:r>
        <w:rPr>
          <w:rFonts w:ascii="Calibri" w:cs="Calibri" w:eastAsia="Calibri" w:hAnsi="Calibri"/>
          <w:b w:val="false"/>
          <w:bCs w:val="false"/>
          <w:i w:val="false"/>
          <w:iCs w:val="false"/>
          <w:sz w:val="22"/>
          <w:szCs w:val="22"/>
        </w:rPr>
        <w:t xml:space="preserve"/>
      </w:r>
    </w:p>
    <w:p>
      <w:pPr>
        <w:spacing w:after="120" w:before="0"/>
      </w:pPr>
      <w:r>
        <w:rPr>
          <w:rFonts w:ascii="Calibri" w:cs="Calibri" w:eastAsia="Calibri" w:hAnsi="Calibri"/>
          <w:b/>
          <w:bCs/>
          <w:i w:val="false"/>
          <w:iCs w:val="false"/>
          <w:color w:val="1F3D5C"/>
          <w:sz w:val="25"/>
          <w:szCs w:val="25"/>
        </w:rPr>
        <w:t xml:space="preserve">1  Drei Fächer</w:t>
      </w:r>
    </w:p>
    <w:tbl>
      <w:tblPr>
        <w:tblW w:type="dxa" w:w="9706"/>
        <w:tblBorders>
          <w:top w:val="single" w:color="2E74B5" w:sz="4"/>
          <w:left w:val="single" w:color="2E74B5" w:sz="4"/>
          <w:bottom w:val="single" w:color="2E74B5" w:sz="4"/>
          <w:right w:val="single" w:color="2E74B5" w:sz="4"/>
          <w:insideH w:val="single" w:color="E2E2E2" w:sz="2"/>
          <w:insideV w:val="single" w:color="2E74B5" w:sz="2"/>
        </w:tblBorders>
      </w:tblPr>
      <w:tblGrid>
        <w:gridCol w:w="3235"/>
        <w:gridCol w:w="3235"/>
        <w:gridCol w:w="3236"/>
      </w:tblGrid>
      <w:tr>
        <w:trPr>
          <w:tblHeader/>
        </w:trPr>
        <w:tc>
          <w:tcPr>
            <w:tcW w:type="dxa" w:w="3235"/>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Menschen und Gruppen</w:t>
            </w:r>
          </w:p>
        </w:tc>
        <w:tc>
          <w:tcPr>
            <w:tcW w:type="dxa" w:w="3235"/>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Dinge, Orte, Besitz</w:t>
            </w:r>
          </w:p>
        </w:tc>
        <w:tc>
          <w:tcPr>
            <w:tcW w:type="dxa" w:w="3236"/>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Was man tut oder erleidet</w:t>
            </w:r>
          </w:p>
        </w:tc>
      </w:tr>
      <w:tr>
        <w:tc>
          <w:tcPr>
            <w:tcW w:type="dxa" w:w="3235"/>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nōbilēs, cīvis, populus</w:t>
            </w:r>
          </w:p>
          <w:p>
            <w:pPr>
              <w:spacing w:after="0" w:before="60"/>
            </w:pPr>
            <w:r>
              <w:rPr>
                <w:rFonts w:ascii="Calibri" w:cs="Calibri" w:eastAsia="Calibri" w:hAnsi="Calibri"/>
                <w:b w:val="false"/>
                <w:bCs w:val="false"/>
                <w:i/>
                <w:iCs/>
                <w:color w:val="808080"/>
                <w:sz w:val="17"/>
                <w:szCs w:val="17"/>
              </w:rPr>
              <w:t xml:space="preserve">probus beschreibt Menschen</w:t>
            </w:r>
          </w:p>
        </w:tc>
        <w:tc>
          <w:tcPr>
            <w:tcW w:type="dxa" w:w="3235"/>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rōstra, ager, lapis, auris, sēdēs, lēx</w:t>
            </w:r>
          </w:p>
          <w:p>
            <w:pPr>
              <w:spacing w:after="0" w:before="60"/>
            </w:pPr>
            <w:r>
              <w:rPr>
                <w:rFonts w:ascii="Calibri" w:cs="Calibri" w:eastAsia="Calibri" w:hAnsi="Calibri"/>
                <w:b w:val="false"/>
                <w:bCs w:val="false"/>
                <w:i/>
                <w:iCs/>
                <w:color w:val="808080"/>
                <w:sz w:val="17"/>
                <w:szCs w:val="17"/>
              </w:rPr>
              <w:t xml:space="preserve">glōria, grātia, lūxuria, avāritia – keine Dinge, aber Besitz und Ansehen</w:t>
            </w:r>
          </w:p>
        </w:tc>
        <w:tc>
          <w:tcPr>
            <w:tcW w:type="dxa" w:w="3236"/>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pellere, labōrāre, iacere, vincere, opprimere, mūtāre</w:t>
            </w:r>
          </w:p>
        </w:tc>
      </w:tr>
    </w:tbl>
    <w:p>
      <w:pPr>
        <w:spacing w:after="180" w:before="0"/>
      </w:pPr>
      <w:r>
        <w:rPr>
          <w:rFonts w:ascii="Calibri" w:cs="Calibri" w:eastAsia="Calibri" w:hAnsi="Calibri"/>
          <w:b w:val="false"/>
          <w:bCs w:val="false"/>
          <w:i w:val="false"/>
          <w:iCs w:val="false"/>
          <w:sz w:val="22"/>
          <w:szCs w:val="22"/>
        </w:rPr>
        <w:t xml:space="preserve"/>
      </w:r>
    </w:p>
    <w:tbl>
      <w:tblPr>
        <w:tblW w:type="dxa" w:w="9706"/>
        <w:tblBorders>
          <w:top w:val="single" w:color="2E74B5" w:sz="6"/>
          <w:left w:val="single" w:color="2E74B5" w:sz="6"/>
          <w:bottom w:val="single" w:color="2E74B5" w:sz="6"/>
          <w:right w:val="single" w:color="2E74B5" w:sz="6"/>
          <w:insideH w:val="none" w:color="FFFFFF" w:sz="0"/>
          <w:insideV w:val="none" w:color="FFFFFF" w:sz="0"/>
        </w:tblBorders>
      </w:tblPr>
      <w:tblGrid>
        <w:gridCol w:w="9706"/>
      </w:tblGrid>
      <w:tr>
        <w:tc>
          <w:tcPr>
            <w:tcW w:type="dxa" w:w="9706"/>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olor w:val="1F3D5C"/>
                <w:sz w:val="22"/>
                <w:szCs w:val="22"/>
              </w:rPr>
              <w:t xml:space="preserve">Gesprächswert</w:t>
            </w:r>
          </w:p>
          <w:p>
            <w:pPr>
              <w:spacing w:after="0" w:before="0"/>
            </w:pPr>
            <w:r>
              <w:rPr>
                <w:rFonts w:ascii="Calibri" w:cs="Calibri" w:eastAsia="Calibri" w:hAnsi="Calibri"/>
                <w:b w:val="false"/>
                <w:bCs w:val="false"/>
                <w:i w:val="false"/>
                <w:iCs w:val="false"/>
                <w:sz w:val="21"/>
                <w:szCs w:val="21"/>
              </w:rPr>
              <w:t xml:space="preserve">lūxuria und avāritia sind keine Dinge, sondern Eigenschaften – und genau sie wirft Gracchus den Adligen vor (Z. 16). grātia und glōria gehören zusammen: das eine ist die Gunst des Volkes, das andere der Ruhm. Wer beides hat, hat Macht.</w:t>
            </w:r>
          </w:p>
        </w:tc>
      </w:tr>
    </w:tbl>
    <w:p>
      <w:pPr>
        <w:spacing w:after="260" w:before="0"/>
      </w:pPr>
      <w:r>
        <w:rPr>
          <w:rFonts w:ascii="Calibri" w:cs="Calibri" w:eastAsia="Calibri" w:hAnsi="Calibri"/>
          <w:b w:val="false"/>
          <w:bCs w:val="false"/>
          <w:i w:val="false"/>
          <w:iCs w:val="false"/>
          <w:sz w:val="22"/>
          <w:szCs w:val="22"/>
        </w:rPr>
        <w:t xml:space="preserve"/>
      </w:r>
    </w:p>
    <w:p>
      <w:pPr>
        <w:spacing w:after="120" w:before="0"/>
      </w:pPr>
      <w:r>
        <w:rPr>
          <w:rFonts w:ascii="Calibri" w:cs="Calibri" w:eastAsia="Calibri" w:hAnsi="Calibri"/>
          <w:b/>
          <w:bCs/>
          <w:i w:val="false"/>
          <w:iCs w:val="false"/>
          <w:color w:val="1F3D5C"/>
          <w:sz w:val="25"/>
          <w:szCs w:val="25"/>
        </w:rPr>
        <w:t xml:space="preserve">2  Die Fremdwortbrücke</w:t>
      </w:r>
    </w:p>
    <w:tbl>
      <w:tblPr>
        <w:tblW w:type="dxa" w:w="9706"/>
        <w:tblBorders>
          <w:top w:val="single" w:color="2E74B5" w:sz="4"/>
          <w:left w:val="single" w:color="2E74B5" w:sz="4"/>
          <w:bottom w:val="single" w:color="2E74B5" w:sz="4"/>
          <w:right w:val="single" w:color="2E74B5" w:sz="4"/>
          <w:insideH w:val="single" w:color="E2E2E2" w:sz="2"/>
          <w:insideV w:val="single" w:color="2E74B5" w:sz="2"/>
        </w:tblBorders>
      </w:tblPr>
      <w:tblGrid>
        <w:gridCol w:w="2600"/>
        <w:gridCol w:w="2200"/>
        <w:gridCol w:w="4906"/>
      </w:tblGrid>
      <w:tr>
        <w:trPr>
          <w:tblHeader/>
        </w:trPr>
        <w:tc>
          <w:tcPr>
            <w:tcW w:type="dxa" w:w="2600"/>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Fremdwort</w:t>
            </w:r>
          </w:p>
        </w:tc>
        <w:tc>
          <w:tcPr>
            <w:tcW w:type="dxa" w:w="2200"/>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Vokabel</w:t>
            </w:r>
          </w:p>
        </w:tc>
        <w:tc>
          <w:tcPr>
            <w:tcW w:type="dxa" w:w="4906"/>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Bedeutung</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glorreich</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glōria</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ruhmvoll, voller Ehre</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Zivil</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cīvis</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bürgerlich, nicht militärisch – ein Zivilist ist kein Soldat</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Mutation</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mūtāre</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eine Veränderung, ein Wandel</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Agrarland</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ager</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landwirtschaftlich genutztes Land</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legal</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lēx</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dem Gesetz entsprechend, erlaubt</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Luxus</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lūxuria</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aufwendiger, teurer Lebensstil</w:t>
            </w:r>
          </w:p>
        </w:tc>
      </w:tr>
      <w:tr>
        <w:tc>
          <w:tcPr>
            <w:tcW w:type="dxa" w:w="2600"/>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Population</w:t>
            </w:r>
          </w:p>
        </w:tc>
        <w:tc>
          <w:tcPr>
            <w:tcW w:type="dxa" w:w="2200"/>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populus</w:t>
            </w:r>
          </w:p>
        </w:tc>
        <w:tc>
          <w:tcPr>
            <w:tcW w:type="dxa" w:w="4906"/>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die Bevölkerung, die Gesamtheit der Bewohner</w:t>
            </w:r>
          </w:p>
        </w:tc>
      </w:tr>
    </w:tbl>
    <w:p>
      <w:pPr>
        <w:pageBreakBefore/>
        <w:spacing w:after="0" w:before="0"/>
      </w:pPr>
      <w:r>
        <w:rPr>
          <w:rFonts w:ascii="Calibri" w:cs="Calibri" w:eastAsia="Calibri" w:hAnsi="Calibri"/>
          <w:b w:val="false"/>
          <w:bCs w:val="false"/>
          <w:i w:val="false"/>
          <w:iCs w:val="false"/>
          <w:sz w:val="22"/>
          <w:szCs w:val="22"/>
        </w:rPr>
        <w:t xml:space="preserve"/>
      </w:r>
    </w:p>
    <w:p>
      <w:pPr>
        <w:pBdr>
          <w:bottom w:val="single" w:color="2E74B5" w:sz="8"/>
        </w:pBdr>
        <w:tabs>
          <w:tab w:val="right" w:pos="9706"/>
        </w:tabs>
        <w:spacing w:after="200"/>
      </w:pPr>
      <w:r>
        <w:rPr>
          <w:rFonts w:ascii="Calibri" w:cs="Calibri" w:eastAsia="Calibri" w:hAnsi="Calibri"/>
          <w:b/>
          <w:bCs/>
          <w:i w:val="false"/>
          <w:iCs w:val="false"/>
          <w:color w:val="2E74B5"/>
          <w:sz w:val="20"/>
          <w:szCs w:val="20"/>
        </w:rPr>
        <w:t xml:space="preserve">Lektion 15 · Bauern und Adlige</w:t>
      </w:r>
      <w:r>
        <w:rPr>
          <w:rFonts w:ascii="Calibri" w:cs="Calibri" w:eastAsia="Calibri" w:hAnsi="Calibri"/>
          <w:b w:val="false"/>
          <w:bCs w:val="false"/>
          <w:i w:val="false"/>
          <w:iCs w:val="false"/>
          <w:color w:val="808080"/>
          <w:sz w:val="20"/>
          <w:szCs w:val="20"/>
        </w:rPr>
        <w:t xml:space="preserve">	AB 15 · Lösung</w:t>
      </w:r>
    </w:p>
    <w:p>
      <w:pPr>
        <w:spacing w:after="100" w:before="0"/>
      </w:pPr>
      <w:r>
        <w:rPr>
          <w:rFonts w:ascii="Calibri" w:cs="Calibri" w:eastAsia="Calibri" w:hAnsi="Calibri"/>
          <w:b/>
          <w:bCs/>
          <w:i w:val="false"/>
          <w:iCs w:val="false"/>
          <w:color w:val="1F3D5C"/>
          <w:sz w:val="25"/>
          <w:szCs w:val="25"/>
        </w:rPr>
        <w:t xml:space="preserve">3  Die Wortschlange</w:t>
      </w:r>
    </w:p>
    <w:p>
      <w:pPr>
        <w:spacing w:after="140" w:before="0"/>
      </w:pPr>
      <w:r>
        <w:rPr>
          <w:rFonts w:ascii="Cambria" w:cs="Cambria" w:eastAsia="Cambria" w:hAnsi="Cambria"/>
          <w:b/>
          <w:bCs/>
          <w:i/>
          <w:iCs/>
          <w:color w:val="1F3D5C"/>
          <w:sz w:val="24"/>
          <w:szCs w:val="24"/>
        </w:rPr>
        <w:t xml:space="preserve">ROSTRA · GLORIA · AVARITIA · LAPIS · SEDES · LEX · AGER</w:t>
      </w:r>
    </w:p>
    <w:tbl>
      <w:tblPr>
        <w:tblW w:type="dxa" w:w="9706"/>
        <w:tblBorders>
          <w:top w:val="single" w:color="2E74B5" w:sz="4"/>
          <w:left w:val="single" w:color="2E74B5" w:sz="4"/>
          <w:bottom w:val="single" w:color="2E74B5" w:sz="4"/>
          <w:right w:val="single" w:color="2E74B5" w:sz="4"/>
          <w:insideH w:val="single" w:color="E2E2E2" w:sz="2"/>
          <w:insideV w:val="single" w:color="2E74B5" w:sz="2"/>
        </w:tblBorders>
      </w:tblPr>
      <w:tblGrid>
        <w:gridCol w:w="4853"/>
        <w:gridCol w:w="4853"/>
      </w:tblGrid>
      <w:tr>
        <w:trPr>
          <w:tblHeader/>
        </w:trPr>
        <w:tc>
          <w:tcPr>
            <w:tcW w:type="dxa" w:w="4853"/>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Nominativ Singular</w:t>
            </w:r>
          </w:p>
        </w:tc>
        <w:tc>
          <w:tcPr>
            <w:tcW w:type="dxa" w:w="4853"/>
            <w:shd w:fill="DCE9F5" w:val="clear"/>
            <w:tcMar>
              <w:top w:type="dxa" w:w="90"/>
              <w:left w:type="dxa" w:w="120"/>
              <w:bottom w:type="dxa" w:w="90"/>
              <w:right w:type="dxa" w:w="120"/>
            </w:tcMar>
          </w:tcPr>
          <w:p>
            <w:pPr>
              <w:spacing w:after="0" w:before="0"/>
            </w:pPr>
            <w:r>
              <w:rPr>
                <w:rFonts w:ascii="Calibri" w:cs="Calibri" w:eastAsia="Calibri" w:hAnsi="Calibri"/>
                <w:b/>
                <w:bCs/>
                <w:i w:val="false"/>
                <w:iCs w:val="false"/>
                <w:color w:val="1F3D5C"/>
                <w:sz w:val="20"/>
                <w:szCs w:val="20"/>
              </w:rPr>
              <w:t xml:space="preserve">Bedeutung</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rōstra, rōstrōrum n. Pl.</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die Rednerbühne (nur im Plural!)</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glōria, glōriae f.</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die Ehre, der Ruhm</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avāritia, avāritiae f.</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die Habgier, der Geiz</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lapis, lapidis m.</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der Stein</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sēdēs, sēdis f.</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der Wohnsitz</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lēx, lēgis f.</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das Gesetz</w:t>
            </w:r>
          </w:p>
        </w:tc>
      </w:tr>
      <w:tr>
        <w:tc>
          <w:tcPr>
            <w:tcW w:type="dxa" w:w="4853"/>
            <w:tcMar>
              <w:top w:type="dxa" w:w="70"/>
              <w:left w:type="dxa" w:w="120"/>
              <w:bottom w:type="dxa" w:w="70"/>
              <w:right w:type="dxa" w:w="120"/>
            </w:tcMar>
          </w:tcPr>
          <w:p>
            <w:pPr>
              <w:spacing w:after="0" w:before="0"/>
            </w:pPr>
            <w:r>
              <w:rPr>
                <w:rFonts w:ascii="Cambria" w:cs="Cambria" w:eastAsia="Cambria" w:hAnsi="Cambria"/>
                <w:b w:val="false"/>
                <w:bCs w:val="false"/>
                <w:i/>
                <w:iCs/>
                <w:sz w:val="21"/>
                <w:szCs w:val="21"/>
              </w:rPr>
              <w:t xml:space="preserve">ager, agrī m.</w:t>
            </w:r>
          </w:p>
        </w:tc>
        <w:tc>
          <w:tcPr>
            <w:tcW w:type="dxa" w:w="4853"/>
            <w:tcMar>
              <w:top w:type="dxa" w:w="70"/>
              <w:left w:type="dxa" w:w="120"/>
              <w:bottom w:type="dxa" w:w="70"/>
              <w:right w:type="dxa" w:w="120"/>
            </w:tcMar>
          </w:tcPr>
          <w:p>
            <w:pPr>
              <w:spacing w:after="0" w:before="0"/>
            </w:pPr>
            <w:r>
              <w:rPr>
                <w:rFonts w:ascii="Calibri" w:cs="Calibri" w:eastAsia="Calibri" w:hAnsi="Calibri"/>
                <w:b w:val="false"/>
                <w:bCs w:val="false"/>
                <w:i w:val="false"/>
                <w:iCs w:val="false"/>
                <w:sz w:val="20"/>
                <w:szCs w:val="20"/>
              </w:rPr>
              <w:t xml:space="preserve">der Acker, das Feld</w:t>
            </w:r>
          </w:p>
        </w:tc>
      </w:tr>
    </w:tbl>
    <w:p>
      <w:pPr>
        <w:spacing w:after="260" w:before="0"/>
      </w:pPr>
      <w:r>
        <w:rPr>
          <w:rFonts w:ascii="Calibri" w:cs="Calibri" w:eastAsia="Calibri" w:hAnsi="Calibri"/>
          <w:b w:val="false"/>
          <w:bCs w:val="false"/>
          <w:i w:val="false"/>
          <w:iCs w:val="false"/>
          <w:sz w:val="22"/>
          <w:szCs w:val="22"/>
        </w:rPr>
        <w:t xml:space="preserve"/>
      </w:r>
    </w:p>
    <w:p>
      <w:pPr>
        <w:spacing w:after="120" w:before="0"/>
      </w:pPr>
      <w:r>
        <w:rPr>
          <w:rFonts w:ascii="Calibri" w:cs="Calibri" w:eastAsia="Calibri" w:hAnsi="Calibri"/>
          <w:b/>
          <w:bCs/>
          <w:i w:val="false"/>
          <w:iCs w:val="false"/>
          <w:color w:val="1F3D5C"/>
          <w:sz w:val="25"/>
          <w:szCs w:val="25"/>
        </w:rPr>
        <w:t xml:space="preserve">4  Wörter im Einsatz</w:t>
      </w:r>
    </w:p>
    <w:p>
      <w:pPr>
        <w:spacing w:after="110" w:before="40"/>
      </w:pPr>
      <w:r>
        <w:rPr>
          <w:rFonts w:ascii="Calibri" w:cs="Calibri" w:eastAsia="Calibri" w:hAnsi="Calibri"/>
          <w:b/>
          <w:bCs/>
          <w:i w:val="false"/>
          <w:iCs w:val="false"/>
          <w:color w:val="2E74B5"/>
          <w:sz w:val="22"/>
          <w:szCs w:val="22"/>
        </w:rPr>
        <w:t xml:space="preserve">1  </w:t>
      </w:r>
      <w:r>
        <w:rPr>
          <w:rFonts w:ascii="Cambria" w:cs="Cambria" w:eastAsia="Cambria" w:hAnsi="Cambria"/>
          <w:b w:val="false"/>
          <w:bCs w:val="false"/>
          <w:i/>
          <w:iCs/>
          <w:sz w:val="22"/>
          <w:szCs w:val="22"/>
        </w:rPr>
        <w:t xml:space="preserve">Tiberius Gracchus in rōstra ascendit.</w:t>
      </w:r>
    </w:p>
    <w:p>
      <w:pPr>
        <w:spacing w:after="110" w:before="40"/>
      </w:pPr>
      <w:r>
        <w:rPr>
          <w:rFonts w:ascii="Calibri" w:cs="Calibri" w:eastAsia="Calibri" w:hAnsi="Calibri"/>
          <w:b/>
          <w:bCs/>
          <w:i w:val="false"/>
          <w:iCs w:val="false"/>
          <w:color w:val="2E74B5"/>
          <w:sz w:val="22"/>
          <w:szCs w:val="22"/>
        </w:rPr>
        <w:t xml:space="preserve">2  </w:t>
      </w:r>
      <w:r>
        <w:rPr>
          <w:rFonts w:ascii="Cambria" w:cs="Cambria" w:eastAsia="Cambria" w:hAnsi="Cambria"/>
          <w:b w:val="false"/>
          <w:bCs w:val="false"/>
          <w:i/>
          <w:iCs/>
          <w:sz w:val="22"/>
          <w:szCs w:val="22"/>
        </w:rPr>
        <w:t xml:space="preserve">Nōbilēs cīvēs ab agrīs pellunt.</w:t>
      </w:r>
    </w:p>
    <w:p>
      <w:pPr>
        <w:spacing w:after="110" w:before="40"/>
      </w:pPr>
      <w:r>
        <w:rPr>
          <w:rFonts w:ascii="Calibri" w:cs="Calibri" w:eastAsia="Calibri" w:hAnsi="Calibri"/>
          <w:b/>
          <w:bCs/>
          <w:i w:val="false"/>
          <w:iCs w:val="false"/>
          <w:color w:val="2E74B5"/>
          <w:sz w:val="22"/>
          <w:szCs w:val="22"/>
        </w:rPr>
        <w:t xml:space="preserve">3  </w:t>
      </w:r>
      <w:r>
        <w:rPr>
          <w:rFonts w:ascii="Cambria" w:cs="Cambria" w:eastAsia="Cambria" w:hAnsi="Cambria"/>
          <w:b w:val="false"/>
          <w:bCs w:val="false"/>
          <w:i/>
          <w:iCs/>
          <w:sz w:val="22"/>
          <w:szCs w:val="22"/>
        </w:rPr>
        <w:t xml:space="preserve">Quirītēs, aurēs mihi praebēte!</w:t>
      </w:r>
    </w:p>
    <w:p>
      <w:pPr>
        <w:spacing w:after="110" w:before="40"/>
      </w:pPr>
      <w:r>
        <w:rPr>
          <w:rFonts w:ascii="Calibri" w:cs="Calibri" w:eastAsia="Calibri" w:hAnsi="Calibri"/>
          <w:b/>
          <w:bCs/>
          <w:i w:val="false"/>
          <w:iCs w:val="false"/>
          <w:color w:val="2E74B5"/>
          <w:sz w:val="22"/>
          <w:szCs w:val="22"/>
        </w:rPr>
        <w:t xml:space="preserve">4  </w:t>
      </w:r>
      <w:r>
        <w:rPr>
          <w:rFonts w:ascii="Cambria" w:cs="Cambria" w:eastAsia="Cambria" w:hAnsi="Cambria"/>
          <w:b w:val="false"/>
          <w:bCs w:val="false"/>
          <w:i/>
          <w:iCs/>
          <w:sz w:val="22"/>
          <w:szCs w:val="22"/>
        </w:rPr>
        <w:t xml:space="preserve">Nōn prō glōriā Rōmānōrum, sed prō avāritiā paucōrum.</w:t>
      </w:r>
    </w:p>
    <w:p>
      <w:pPr>
        <w:spacing w:after="110" w:before="40"/>
      </w:pPr>
      <w:r>
        <w:rPr>
          <w:rFonts w:ascii="Calibri" w:cs="Calibri" w:eastAsia="Calibri" w:hAnsi="Calibri"/>
          <w:b/>
          <w:bCs/>
          <w:i w:val="false"/>
          <w:iCs w:val="false"/>
          <w:color w:val="2E74B5"/>
          <w:sz w:val="22"/>
          <w:szCs w:val="22"/>
        </w:rPr>
        <w:t xml:space="preserve">5  </w:t>
      </w:r>
      <w:r>
        <w:rPr>
          <w:rFonts w:ascii="Cambria" w:cs="Cambria" w:eastAsia="Cambria" w:hAnsi="Cambria"/>
          <w:b w:val="false"/>
          <w:bCs w:val="false"/>
          <w:i/>
          <w:iCs/>
          <w:sz w:val="22"/>
          <w:szCs w:val="22"/>
        </w:rPr>
        <w:t xml:space="preserve">Hodiē lēx nova rogābitur.</w:t>
      </w:r>
    </w:p>
    <w:p>
      <w:pPr>
        <w:spacing w:after="240" w:before="0"/>
      </w:pPr>
      <w:r>
        <w:rPr>
          <w:rFonts w:ascii="Calibri" w:cs="Calibri" w:eastAsia="Calibri" w:hAnsi="Calibri"/>
          <w:b w:val="false"/>
          <w:bCs w:val="false"/>
          <w:i w:val="false"/>
          <w:iCs w:val="false"/>
          <w:sz w:val="22"/>
          <w:szCs w:val="22"/>
        </w:rPr>
        <w:t xml:space="preserve"/>
      </w:r>
    </w:p>
    <w:tbl>
      <w:tblPr>
        <w:tblW w:type="dxa" w:w="9706"/>
        <w:tblBorders>
          <w:top w:val="single" w:color="2E74B5" w:sz="6"/>
          <w:left w:val="single" w:color="2E74B5" w:sz="6"/>
          <w:bottom w:val="single" w:color="2E74B5" w:sz="6"/>
          <w:right w:val="single" w:color="2E74B5" w:sz="6"/>
          <w:insideH w:val="none" w:color="FFFFFF" w:sz="0"/>
          <w:insideV w:val="none" w:color="FFFFFF" w:sz="0"/>
        </w:tblBorders>
      </w:tblPr>
      <w:tblGrid>
        <w:gridCol w:w="9706"/>
      </w:tblGrid>
      <w:tr>
        <w:tc>
          <w:tcPr>
            <w:tcW w:type="dxa" w:w="9706"/>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olor w:val="1F3D5C"/>
                <w:sz w:val="22"/>
                <w:szCs w:val="22"/>
              </w:rPr>
              <w:t xml:space="preserve">Für die Lehrkraft</w:t>
            </w:r>
          </w:p>
          <w:p>
            <w:pPr>
              <w:spacing w:after="0" w:before="0"/>
            </w:pPr>
            <w:r>
              <w:rPr>
                <w:rFonts w:ascii="Calibri" w:cs="Calibri" w:eastAsia="Calibri" w:hAnsi="Calibri"/>
                <w:b w:val="false"/>
                <w:bCs w:val="false"/>
                <w:i w:val="false"/>
                <w:iCs w:val="false"/>
                <w:sz w:val="21"/>
                <w:szCs w:val="21"/>
              </w:rPr>
              <w:t xml:space="preserve">Dieses Blatt hieß früher AB 05 und stand vor der Übersetzung. Weil es mit den neuen Vokabeln der Lektion arbeitet, die die Schüler zu diesem Zeitpunkt noch nicht kennen, ist es jetzt freiwilliger Zusatz nach der Übersetzung. Die Vorerschließung des Wortschatzes leistet AB 05 (Wortfelder).</w:t>
            </w:r>
          </w:p>
        </w:tc>
      </w:tr>
    </w:tbl>
    <w:sectPr>
      <w:footerReference w:type="default" r:id="rId7"/>
      <w:pgSz w:w="11906" w:h="16838" w:orient="portrait"/>
      <w:pgMar w:top="800" w:right="1100" w:bottom="800" w:left="110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olor w:val="808080"/>
        <w:sz w:val="16"/>
        <w:szCs w:val="16"/>
      </w:rPr>
      <w:t xml:space="preserve">Lektion 15 · Bauern und Adlige  |  AB 15 · Lösung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2026-09-01T06:31:34.095Z</dcterms:created>
  <dcterms:modified xsi:type="dcterms:W3CDTF">2026-09-01T06:31:34.095Z</dcterms:modified>
</cp:coreProperties>
</file>

<file path=docProps/custom.xml><?xml version="1.0" encoding="utf-8"?>
<Properties xmlns="http://schemas.openxmlformats.org/officeDocument/2006/custom-properties" xmlns:vt="http://schemas.openxmlformats.org/officeDocument/2006/docPropsVTypes"/>
</file>